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61" w:rsidRPr="000D5EC9" w:rsidRDefault="00832522" w:rsidP="000F1A61">
      <w:pPr>
        <w:pStyle w:val="CRCoverPage"/>
        <w:tabs>
          <w:tab w:val="right" w:pos="9639"/>
          <w:tab w:val="right" w:pos="13323"/>
        </w:tabs>
        <w:spacing w:after="0"/>
        <w:rPr>
          <w:rFonts w:cs="Arial"/>
          <w:b/>
          <w:noProof/>
          <w:sz w:val="24"/>
          <w:szCs w:val="24"/>
        </w:rPr>
      </w:pPr>
      <w:bookmarkStart w:id="0" w:name="_Toc193024528"/>
      <w:bookmarkStart w:id="1" w:name="_GoBack"/>
      <w:bookmarkEnd w:id="1"/>
      <w:r>
        <w:rPr>
          <w:b/>
          <w:noProof/>
          <w:sz w:val="24"/>
        </w:rPr>
        <w:t>3GPP TSG-</w:t>
      </w:r>
      <w:r>
        <w:rPr>
          <w:rFonts w:hint="eastAsia"/>
          <w:b/>
          <w:noProof/>
          <w:sz w:val="24"/>
          <w:lang w:eastAsia="zh-CN"/>
        </w:rPr>
        <w:t>RAN WG4</w:t>
      </w:r>
      <w:r>
        <w:rPr>
          <w:b/>
          <w:noProof/>
          <w:sz w:val="24"/>
        </w:rPr>
        <w:t xml:space="preserve"> Meetin</w:t>
      </w:r>
      <w:r>
        <w:rPr>
          <w:b/>
          <w:noProof/>
          <w:sz w:val="24"/>
          <w:lang w:eastAsia="zh-CN"/>
        </w:rPr>
        <w:t>g #</w:t>
      </w:r>
      <w:r w:rsidR="00F25C3B">
        <w:rPr>
          <w:b/>
          <w:noProof/>
          <w:sz w:val="24"/>
          <w:lang w:eastAsia="zh-CN"/>
        </w:rPr>
        <w:t>9</w:t>
      </w:r>
      <w:r w:rsidR="001F41DE">
        <w:rPr>
          <w:b/>
          <w:noProof/>
          <w:sz w:val="24"/>
          <w:lang w:eastAsia="zh-CN"/>
        </w:rPr>
        <w:t>6</w:t>
      </w:r>
      <w:r w:rsidR="006B506A">
        <w:rPr>
          <w:b/>
          <w:noProof/>
          <w:sz w:val="24"/>
          <w:lang w:eastAsia="zh-CN"/>
        </w:rPr>
        <w:t>-e</w:t>
      </w:r>
      <w:r w:rsidR="000F1A61" w:rsidRPr="000D5EC9">
        <w:rPr>
          <w:rFonts w:cs="Arial"/>
          <w:b/>
          <w:noProof/>
          <w:sz w:val="24"/>
          <w:szCs w:val="24"/>
        </w:rPr>
        <w:tab/>
      </w:r>
      <w:r>
        <w:rPr>
          <w:rFonts w:eastAsia="宋体" w:cs="Arial" w:hint="eastAsia"/>
          <w:b/>
          <w:noProof/>
          <w:sz w:val="24"/>
          <w:szCs w:val="24"/>
          <w:lang w:eastAsia="zh-CN"/>
        </w:rPr>
        <w:t>R4-</w:t>
      </w:r>
      <w:r w:rsidR="00720BBB">
        <w:rPr>
          <w:rFonts w:eastAsia="宋体" w:cs="Arial"/>
          <w:b/>
          <w:noProof/>
          <w:sz w:val="24"/>
          <w:szCs w:val="24"/>
          <w:lang w:eastAsia="zh-CN"/>
        </w:rPr>
        <w:t>20</w:t>
      </w:r>
      <w:r w:rsidR="005C1573">
        <w:rPr>
          <w:rFonts w:eastAsia="宋体" w:cs="Arial"/>
          <w:b/>
          <w:noProof/>
          <w:sz w:val="24"/>
          <w:szCs w:val="24"/>
          <w:lang w:eastAsia="zh-CN"/>
        </w:rPr>
        <w:t>11026</w:t>
      </w:r>
    </w:p>
    <w:p w:rsidR="0037119B" w:rsidRPr="00F9540E" w:rsidRDefault="00F9540E" w:rsidP="00F9540E">
      <w:pPr>
        <w:pStyle w:val="a7"/>
        <w:tabs>
          <w:tab w:val="right" w:pos="9781"/>
          <w:tab w:val="right" w:pos="13323"/>
        </w:tabs>
        <w:outlineLvl w:val="0"/>
        <w:rPr>
          <w:rFonts w:hint="eastAsia"/>
          <w:sz w:val="24"/>
        </w:rPr>
      </w:pPr>
      <w:r w:rsidRPr="00F9540E">
        <w:rPr>
          <w:sz w:val="24"/>
        </w:rPr>
        <w:t>Electronic Meeting, 17-28 Aug., 2020</w:t>
      </w:r>
    </w:p>
    <w:p w:rsidR="00245D64" w:rsidRPr="00067A3E" w:rsidRDefault="00245D64" w:rsidP="0037119B">
      <w:pPr>
        <w:pStyle w:val="ac"/>
        <w:jc w:val="both"/>
        <w:rPr>
          <w:rFonts w:eastAsia="宋体" w:hint="eastAsia"/>
          <w:b w:val="0"/>
          <w:i w:val="0"/>
          <w:noProof w:val="0"/>
          <w:sz w:val="24"/>
          <w:lang w:eastAsia="zh-CN"/>
        </w:rPr>
      </w:pPr>
    </w:p>
    <w:p w:rsidR="0037119B" w:rsidRPr="008971DB" w:rsidRDefault="0037119B" w:rsidP="008971DB">
      <w:pPr>
        <w:tabs>
          <w:tab w:val="left" w:pos="1985"/>
        </w:tabs>
        <w:ind w:left="1980" w:hanging="1980"/>
        <w:rPr>
          <w:rStyle w:val="af8"/>
          <w:rFonts w:hint="eastAsia"/>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720BBB">
        <w:rPr>
          <w:rFonts w:ascii="Arial" w:hAnsi="Arial"/>
          <w:sz w:val="24"/>
          <w:lang w:val="en-US"/>
        </w:rPr>
        <w:t xml:space="preserve">Discussion on </w:t>
      </w:r>
      <w:r w:rsidR="00307AFF">
        <w:rPr>
          <w:rFonts w:ascii="Arial" w:hAnsi="Arial"/>
          <w:sz w:val="24"/>
          <w:lang w:val="en-US"/>
        </w:rPr>
        <w:t>NR CA CQI reporting requirements</w:t>
      </w:r>
    </w:p>
    <w:p w:rsidR="0037119B" w:rsidRPr="00492450" w:rsidRDefault="0037119B" w:rsidP="004D5606">
      <w:pPr>
        <w:tabs>
          <w:tab w:val="left" w:pos="1985"/>
        </w:tabs>
        <w:rPr>
          <w:rStyle w:val="af8"/>
          <w:rFonts w:hint="eastAsia"/>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rsidR="0037119B" w:rsidRPr="00492450" w:rsidRDefault="0037119B" w:rsidP="0037119B">
      <w:pPr>
        <w:tabs>
          <w:tab w:val="left" w:pos="1985"/>
        </w:tabs>
        <w:rPr>
          <w:rStyle w:val="af8"/>
          <w:rFonts w:hint="eastAsia"/>
          <w:lang w:val="pt-BR"/>
        </w:rPr>
      </w:pPr>
      <w:r w:rsidRPr="00492450">
        <w:rPr>
          <w:rFonts w:ascii="Arial" w:hAnsi="Arial"/>
          <w:b/>
          <w:sz w:val="24"/>
          <w:lang w:val="pt-BR"/>
        </w:rPr>
        <w:t>Agenda item:</w:t>
      </w:r>
      <w:r w:rsidRPr="00492450">
        <w:rPr>
          <w:rFonts w:ascii="Arial" w:hAnsi="Arial"/>
          <w:sz w:val="24"/>
          <w:lang w:val="pt-BR"/>
        </w:rPr>
        <w:tab/>
      </w:r>
      <w:r w:rsidR="00AC1C3E">
        <w:rPr>
          <w:rFonts w:ascii="Arial" w:hAnsi="Arial"/>
          <w:sz w:val="24"/>
          <w:lang w:val="pt-BR"/>
        </w:rPr>
        <w:t>7.16.1.</w:t>
      </w:r>
      <w:r w:rsidR="00307AFF">
        <w:rPr>
          <w:rFonts w:ascii="Arial" w:hAnsi="Arial"/>
          <w:sz w:val="24"/>
          <w:lang w:val="pt-BR"/>
        </w:rPr>
        <w:t>5</w:t>
      </w:r>
    </w:p>
    <w:p w:rsidR="0037119B" w:rsidRPr="00492450" w:rsidRDefault="0037119B" w:rsidP="0037119B">
      <w:pPr>
        <w:tabs>
          <w:tab w:val="left" w:pos="1985"/>
        </w:tabs>
        <w:ind w:left="1980" w:hanging="1980"/>
        <w:rPr>
          <w:rStyle w:val="af8"/>
          <w:rFonts w:hint="eastAsia"/>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eastAsia="zh-CN"/>
        </w:rPr>
        <w:t>Discussion</w:t>
      </w:r>
    </w:p>
    <w:p w:rsidR="00DD5AE1" w:rsidRDefault="00F925F5" w:rsidP="00B47C0A">
      <w:pPr>
        <w:pStyle w:val="1"/>
        <w:rPr>
          <w:rFonts w:eastAsia="宋体"/>
          <w:lang w:eastAsia="zh-CN"/>
        </w:rPr>
      </w:pPr>
      <w:r>
        <w:rPr>
          <w:rFonts w:eastAsia="宋体" w:hint="eastAsia"/>
          <w:lang w:eastAsia="zh-CN"/>
        </w:rPr>
        <w:t>Back</w:t>
      </w:r>
      <w:r w:rsidR="00224CDF">
        <w:rPr>
          <w:rFonts w:eastAsia="宋体" w:hint="eastAsia"/>
          <w:lang w:eastAsia="zh-CN"/>
        </w:rPr>
        <w:t>ground</w:t>
      </w:r>
    </w:p>
    <w:p w:rsidR="00FB4711" w:rsidRDefault="00901DAF" w:rsidP="00FB4711">
      <w:pPr>
        <w:tabs>
          <w:tab w:val="left" w:pos="1985"/>
        </w:tabs>
        <w:spacing w:after="0"/>
        <w:ind w:left="1979" w:hanging="1979"/>
        <w:rPr>
          <w:lang w:val="en-US" w:eastAsia="zh-CN"/>
        </w:rPr>
      </w:pPr>
      <w:r>
        <w:rPr>
          <w:rFonts w:hint="eastAsia"/>
          <w:lang w:val="en-US" w:eastAsia="zh-CN"/>
        </w:rPr>
        <w:t>I</w:t>
      </w:r>
      <w:r>
        <w:rPr>
          <w:lang w:val="en-US" w:eastAsia="zh-CN"/>
        </w:rPr>
        <w:t xml:space="preserve">n RAN 4 95-e meeting, the WF </w:t>
      </w:r>
      <w:r w:rsidRPr="00901DAF">
        <w:rPr>
          <w:vertAlign w:val="superscript"/>
          <w:lang w:val="en-US" w:eastAsia="zh-CN"/>
        </w:rPr>
        <w:t>[1]</w:t>
      </w:r>
      <w:r>
        <w:rPr>
          <w:vertAlign w:val="superscript"/>
          <w:lang w:val="en-US" w:eastAsia="zh-CN"/>
        </w:rPr>
        <w:t xml:space="preserve">   </w:t>
      </w:r>
      <w:r>
        <w:rPr>
          <w:lang w:val="en-US" w:eastAsia="zh-CN"/>
        </w:rPr>
        <w:t xml:space="preserve">was approved. </w:t>
      </w:r>
      <w:bookmarkStart w:id="2" w:name="OLE_LINK1"/>
      <w:bookmarkStart w:id="3" w:name="OLE_LINK2"/>
      <w:r>
        <w:rPr>
          <w:lang w:val="en-US"/>
        </w:rPr>
        <w:t>In this pape</w:t>
      </w:r>
      <w:r w:rsidR="000739A9">
        <w:rPr>
          <w:lang w:val="en-US"/>
        </w:rPr>
        <w:t xml:space="preserve">r, we will give our discussion on </w:t>
      </w:r>
      <w:r>
        <w:rPr>
          <w:lang w:val="en-US"/>
        </w:rPr>
        <w:t>remaining detai</w:t>
      </w:r>
      <w:r w:rsidR="00FB4711">
        <w:rPr>
          <w:lang w:val="en-US"/>
        </w:rPr>
        <w:t xml:space="preserve">ls about </w:t>
      </w:r>
      <w:r w:rsidR="00FB4711" w:rsidRPr="00FB4711">
        <w:rPr>
          <w:lang w:val="en-US" w:eastAsia="zh-CN"/>
        </w:rPr>
        <w:t xml:space="preserve">NR CA </w:t>
      </w:r>
    </w:p>
    <w:p w:rsidR="008971DB" w:rsidRPr="00FB4711" w:rsidRDefault="00FB4711" w:rsidP="00FB4711">
      <w:pPr>
        <w:tabs>
          <w:tab w:val="left" w:pos="1985"/>
        </w:tabs>
        <w:spacing w:after="0"/>
        <w:rPr>
          <w:rFonts w:ascii="Arial" w:hAnsi="Arial" w:hint="eastAsia"/>
          <w:sz w:val="24"/>
          <w:lang w:val="en-US" w:eastAsia="zh-CN"/>
        </w:rPr>
      </w:pPr>
      <w:r w:rsidRPr="00FB4711">
        <w:rPr>
          <w:lang w:val="en-US" w:eastAsia="zh-CN"/>
        </w:rPr>
        <w:t>CQI reporting requirements</w:t>
      </w:r>
    </w:p>
    <w:p w:rsidR="00BE6EE0" w:rsidRDefault="00C64CB3" w:rsidP="00962E72">
      <w:pPr>
        <w:pStyle w:val="1"/>
        <w:rPr>
          <w:rFonts w:eastAsia="宋体"/>
          <w:lang w:eastAsia="zh-CN"/>
        </w:rPr>
      </w:pPr>
      <w:r>
        <w:rPr>
          <w:rFonts w:eastAsia="宋体"/>
          <w:lang w:eastAsia="zh-CN"/>
        </w:rPr>
        <w:t>Discussion</w:t>
      </w:r>
      <w:bookmarkStart w:id="4" w:name="OLE_LINK8"/>
    </w:p>
    <w:p w:rsidR="0008746A" w:rsidRDefault="00962E72" w:rsidP="00962E72">
      <w:pPr>
        <w:rPr>
          <w:b/>
          <w:u w:val="single"/>
          <w:lang w:val="en-US" w:eastAsia="zh-CN"/>
        </w:rPr>
      </w:pPr>
      <w:r w:rsidRPr="00962E72">
        <w:rPr>
          <w:b/>
          <w:u w:val="single"/>
          <w:lang w:val="en-US" w:eastAsia="zh-CN"/>
        </w:rPr>
        <w:t>Duplex mode and SCS combinations</w:t>
      </w:r>
    </w:p>
    <w:p w:rsidR="00962E72" w:rsidRDefault="00962E72" w:rsidP="00962E72">
      <w:pPr>
        <w:tabs>
          <w:tab w:val="left" w:pos="1985"/>
        </w:tabs>
        <w:spacing w:afterLines="50" w:after="120"/>
        <w:ind w:left="1979" w:hanging="1979"/>
        <w:rPr>
          <w:lang w:val="en-US" w:eastAsia="zh-CN"/>
        </w:rPr>
      </w:pPr>
      <w:r w:rsidRPr="00962E72">
        <w:rPr>
          <w:lang w:val="en-US" w:eastAsia="zh-CN"/>
        </w:rPr>
        <w:t>The options are shown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962E72" w:rsidRPr="0008746A" w:rsidTr="0008746A">
        <w:trPr>
          <w:jc w:val="center"/>
        </w:trPr>
        <w:tc>
          <w:tcPr>
            <w:tcW w:w="10683" w:type="dxa"/>
            <w:shd w:val="clear" w:color="auto" w:fill="auto"/>
          </w:tcPr>
          <w:p w:rsidR="0008746A" w:rsidRPr="0008746A" w:rsidRDefault="0008746A" w:rsidP="001A7B8C">
            <w:pPr>
              <w:numPr>
                <w:ilvl w:val="0"/>
                <w:numId w:val="12"/>
              </w:numPr>
              <w:tabs>
                <w:tab w:val="left" w:pos="1985"/>
              </w:tabs>
              <w:spacing w:after="0"/>
              <w:rPr>
                <w:i/>
                <w:sz w:val="18"/>
                <w:lang w:val="en-US" w:eastAsia="zh-CN"/>
              </w:rPr>
            </w:pPr>
            <w:r w:rsidRPr="0008746A">
              <w:rPr>
                <w:i/>
                <w:sz w:val="18"/>
                <w:lang w:val="en-US" w:eastAsia="zh-CN"/>
              </w:rPr>
              <w:t>Duplex mode and SCS combinations</w:t>
            </w:r>
          </w:p>
          <w:p w:rsidR="0008746A" w:rsidRPr="0008746A" w:rsidRDefault="0008746A" w:rsidP="001A7B8C">
            <w:pPr>
              <w:numPr>
                <w:ilvl w:val="1"/>
                <w:numId w:val="12"/>
              </w:numPr>
              <w:tabs>
                <w:tab w:val="left" w:pos="1985"/>
              </w:tabs>
              <w:spacing w:after="0"/>
              <w:rPr>
                <w:i/>
                <w:sz w:val="18"/>
                <w:lang w:val="en-US" w:eastAsia="zh-CN"/>
              </w:rPr>
            </w:pPr>
            <w:r w:rsidRPr="0008746A">
              <w:rPr>
                <w:i/>
                <w:sz w:val="18"/>
                <w:lang w:val="en-US" w:eastAsia="zh-CN"/>
              </w:rPr>
              <w:t xml:space="preserve">For the performance requirements: </w:t>
            </w:r>
          </w:p>
          <w:p w:rsidR="0008746A" w:rsidRPr="0008746A" w:rsidRDefault="0008746A" w:rsidP="001A7B8C">
            <w:pPr>
              <w:numPr>
                <w:ilvl w:val="2"/>
                <w:numId w:val="12"/>
              </w:numPr>
              <w:tabs>
                <w:tab w:val="left" w:pos="1985"/>
              </w:tabs>
              <w:spacing w:after="0"/>
              <w:rPr>
                <w:i/>
                <w:sz w:val="18"/>
                <w:lang w:val="en-US" w:eastAsia="zh-CN"/>
              </w:rPr>
            </w:pPr>
            <w:r w:rsidRPr="0008746A">
              <w:rPr>
                <w:i/>
                <w:sz w:val="18"/>
                <w:lang w:val="en-US" w:eastAsia="zh-CN"/>
              </w:rPr>
              <w:t>Option 1: Reuse the combinations from PDSCH normal</w:t>
            </w:r>
          </w:p>
          <w:p w:rsidR="0008746A" w:rsidRPr="0008746A" w:rsidRDefault="0008746A" w:rsidP="001A7B8C">
            <w:pPr>
              <w:numPr>
                <w:ilvl w:val="2"/>
                <w:numId w:val="12"/>
              </w:numPr>
              <w:tabs>
                <w:tab w:val="left" w:pos="1985"/>
              </w:tabs>
              <w:spacing w:after="0"/>
              <w:rPr>
                <w:i/>
                <w:sz w:val="18"/>
                <w:lang w:val="en-US" w:eastAsia="zh-CN"/>
              </w:rPr>
            </w:pPr>
            <w:r w:rsidRPr="0008746A">
              <w:rPr>
                <w:i/>
                <w:sz w:val="18"/>
                <w:lang w:val="en-US" w:eastAsia="zh-CN"/>
              </w:rPr>
              <w:t>Option 2:</w:t>
            </w:r>
          </w:p>
          <w:p w:rsidR="0008746A" w:rsidRPr="0008746A" w:rsidRDefault="0008746A" w:rsidP="001A7B8C">
            <w:pPr>
              <w:numPr>
                <w:ilvl w:val="3"/>
                <w:numId w:val="12"/>
              </w:numPr>
              <w:tabs>
                <w:tab w:val="left" w:pos="1985"/>
              </w:tabs>
              <w:spacing w:after="0"/>
              <w:rPr>
                <w:i/>
                <w:sz w:val="18"/>
                <w:lang w:val="en-US" w:eastAsia="zh-CN"/>
              </w:rPr>
            </w:pPr>
            <w:r w:rsidRPr="0008746A">
              <w:rPr>
                <w:i/>
                <w:sz w:val="18"/>
                <w:lang w:val="en-US" w:eastAsia="zh-CN"/>
              </w:rPr>
              <w:t>FR1: FDD + FDD with 15 kHz SCS and TDD + TDD with 30 kHz SCS</w:t>
            </w:r>
          </w:p>
          <w:p w:rsidR="0008746A" w:rsidRPr="0008746A" w:rsidRDefault="0008746A" w:rsidP="001A7B8C">
            <w:pPr>
              <w:numPr>
                <w:ilvl w:val="3"/>
                <w:numId w:val="12"/>
              </w:numPr>
              <w:tabs>
                <w:tab w:val="left" w:pos="1985"/>
              </w:tabs>
              <w:spacing w:after="0"/>
              <w:rPr>
                <w:i/>
                <w:sz w:val="18"/>
                <w:lang w:val="en-US" w:eastAsia="zh-CN"/>
              </w:rPr>
            </w:pPr>
            <w:r w:rsidRPr="0008746A">
              <w:rPr>
                <w:i/>
                <w:sz w:val="18"/>
                <w:lang w:val="en-US" w:eastAsia="zh-CN"/>
              </w:rPr>
              <w:t>FR2: TDD + TDD with 120 kHz SCS</w:t>
            </w:r>
          </w:p>
          <w:p w:rsidR="0008746A" w:rsidRPr="0008746A" w:rsidRDefault="0008746A" w:rsidP="001A7B8C">
            <w:pPr>
              <w:numPr>
                <w:ilvl w:val="1"/>
                <w:numId w:val="12"/>
              </w:numPr>
              <w:tabs>
                <w:tab w:val="left" w:pos="1985"/>
              </w:tabs>
              <w:spacing w:after="0"/>
              <w:rPr>
                <w:i/>
                <w:sz w:val="18"/>
                <w:lang w:val="en-US" w:eastAsia="zh-CN"/>
              </w:rPr>
            </w:pPr>
            <w:r w:rsidRPr="0008746A">
              <w:rPr>
                <w:i/>
                <w:sz w:val="18"/>
                <w:lang w:val="en-US" w:eastAsia="zh-CN"/>
              </w:rPr>
              <w:t>Applicability rule if option 1 for the performance requirements is agreed:</w:t>
            </w:r>
          </w:p>
          <w:p w:rsidR="0008746A" w:rsidRPr="0008746A" w:rsidRDefault="0008746A" w:rsidP="001A7B8C">
            <w:pPr>
              <w:numPr>
                <w:ilvl w:val="2"/>
                <w:numId w:val="12"/>
              </w:numPr>
              <w:tabs>
                <w:tab w:val="left" w:pos="1985"/>
              </w:tabs>
              <w:spacing w:after="0"/>
              <w:rPr>
                <w:i/>
                <w:sz w:val="18"/>
                <w:lang w:val="en-US" w:eastAsia="zh-CN"/>
              </w:rPr>
            </w:pPr>
            <w:r w:rsidRPr="0008746A">
              <w:rPr>
                <w:i/>
                <w:sz w:val="18"/>
                <w:lang w:val="en-US" w:eastAsia="zh-CN"/>
              </w:rPr>
              <w:t>Option 1: Test 2 of the 3 cases below, and FFS on the detailed applicability rule:</w:t>
            </w:r>
          </w:p>
          <w:p w:rsidR="0008746A" w:rsidRPr="0008746A" w:rsidRDefault="0008746A" w:rsidP="001A7B8C">
            <w:pPr>
              <w:numPr>
                <w:ilvl w:val="3"/>
                <w:numId w:val="12"/>
              </w:numPr>
              <w:tabs>
                <w:tab w:val="left" w:pos="1985"/>
              </w:tabs>
              <w:spacing w:after="0"/>
              <w:rPr>
                <w:i/>
                <w:sz w:val="18"/>
                <w:lang w:val="en-US" w:eastAsia="zh-CN"/>
              </w:rPr>
            </w:pPr>
            <w:r w:rsidRPr="0008746A">
              <w:rPr>
                <w:i/>
                <w:sz w:val="18"/>
                <w:lang w:val="en-US" w:eastAsia="zh-CN"/>
              </w:rPr>
              <w:t>Test #1: FDD 15 kHz + FDD 15 kHz</w:t>
            </w:r>
          </w:p>
          <w:p w:rsidR="0008746A" w:rsidRPr="0008746A" w:rsidRDefault="0008746A" w:rsidP="001A7B8C">
            <w:pPr>
              <w:numPr>
                <w:ilvl w:val="3"/>
                <w:numId w:val="12"/>
              </w:numPr>
              <w:tabs>
                <w:tab w:val="left" w:pos="1985"/>
              </w:tabs>
              <w:spacing w:after="0"/>
              <w:rPr>
                <w:i/>
                <w:sz w:val="18"/>
                <w:lang w:val="en-US" w:eastAsia="zh-CN"/>
              </w:rPr>
            </w:pPr>
            <w:r w:rsidRPr="0008746A">
              <w:rPr>
                <w:i/>
                <w:sz w:val="18"/>
                <w:lang w:val="en-US" w:eastAsia="zh-CN"/>
              </w:rPr>
              <w:t>Test #2: FDD 15 kHz + TDD 30 kHz, in case UE supports different SCS on different carriers for FDD-TDD CA, otherwise FDD 15 kHz + TDD 15 kHz</w:t>
            </w:r>
          </w:p>
          <w:p w:rsidR="0008746A" w:rsidRPr="0008746A" w:rsidRDefault="0008746A" w:rsidP="001A7B8C">
            <w:pPr>
              <w:numPr>
                <w:ilvl w:val="3"/>
                <w:numId w:val="12"/>
              </w:numPr>
              <w:tabs>
                <w:tab w:val="left" w:pos="1985"/>
              </w:tabs>
              <w:spacing w:after="0"/>
              <w:rPr>
                <w:i/>
                <w:sz w:val="18"/>
                <w:lang w:val="en-US" w:eastAsia="zh-CN"/>
              </w:rPr>
            </w:pPr>
            <w:r w:rsidRPr="0008746A">
              <w:rPr>
                <w:i/>
                <w:sz w:val="18"/>
                <w:lang w:val="en-US" w:eastAsia="zh-CN"/>
              </w:rPr>
              <w:t>Test #3: TDD 30 kHz + TDD 30 kHz, in case UE supports it, otherwise TDD 15 kHz + TDD 30 kHz</w:t>
            </w:r>
          </w:p>
          <w:p w:rsidR="00962E72" w:rsidRPr="0008746A" w:rsidRDefault="0008746A" w:rsidP="001A7B8C">
            <w:pPr>
              <w:numPr>
                <w:ilvl w:val="2"/>
                <w:numId w:val="12"/>
              </w:numPr>
              <w:tabs>
                <w:tab w:val="left" w:pos="1985"/>
              </w:tabs>
              <w:spacing w:after="0"/>
              <w:rPr>
                <w:rFonts w:hint="eastAsia"/>
                <w:i/>
                <w:sz w:val="16"/>
                <w:lang w:val="en-US" w:eastAsia="zh-CN"/>
              </w:rPr>
            </w:pPr>
            <w:r w:rsidRPr="0008746A">
              <w:rPr>
                <w:i/>
                <w:sz w:val="18"/>
                <w:lang w:val="en-US" w:eastAsia="zh-CN"/>
              </w:rPr>
              <w:t>Other options are not precluded</w:t>
            </w:r>
          </w:p>
        </w:tc>
      </w:tr>
    </w:tbl>
    <w:p w:rsidR="00962E72" w:rsidRDefault="00962E72" w:rsidP="00962E72">
      <w:pPr>
        <w:tabs>
          <w:tab w:val="left" w:pos="1985"/>
        </w:tabs>
        <w:spacing w:after="0"/>
        <w:ind w:left="1979" w:hanging="1979"/>
        <w:rPr>
          <w:lang w:val="en-US" w:eastAsia="zh-CN"/>
        </w:rPr>
      </w:pPr>
    </w:p>
    <w:p w:rsidR="00962E72" w:rsidRPr="00962E72" w:rsidRDefault="00962E72" w:rsidP="00962E72">
      <w:pPr>
        <w:snapToGrid w:val="0"/>
        <w:spacing w:before="60" w:after="60"/>
        <w:rPr>
          <w:lang w:eastAsia="zh-CN"/>
        </w:rPr>
      </w:pPr>
      <w:r>
        <w:rPr>
          <w:lang w:eastAsia="zh-CN"/>
        </w:rPr>
        <w:t>We</w:t>
      </w:r>
      <w:r w:rsidR="002474AB">
        <w:rPr>
          <w:lang w:eastAsia="zh-CN"/>
        </w:rPr>
        <w:t xml:space="preserve"> prefer o</w:t>
      </w:r>
      <w:r w:rsidRPr="00962E72">
        <w:rPr>
          <w:lang w:eastAsia="zh-CN"/>
        </w:rPr>
        <w:t xml:space="preserve">ption 2. Supporting of different CA combinations are covered in PDSCH CA performance requirements and no need to repeat to verify them in CA CQI test. FDD CA and TDD CA with same numerology is mandatory for UE to support, it is enough to check the CA CQI performance by using the CA with same numerology. </w:t>
      </w:r>
    </w:p>
    <w:p w:rsidR="002474AB" w:rsidRPr="002474AB" w:rsidRDefault="002474AB" w:rsidP="002474AB">
      <w:pPr>
        <w:tabs>
          <w:tab w:val="left" w:pos="1985"/>
        </w:tabs>
        <w:spacing w:after="0"/>
        <w:rPr>
          <w:rFonts w:hint="eastAsia"/>
          <w:b/>
          <w:i/>
          <w:lang w:val="en-US" w:eastAsia="zh-CN"/>
        </w:rPr>
      </w:pPr>
      <w:r w:rsidRPr="002474AB">
        <w:rPr>
          <w:rFonts w:hint="eastAsia"/>
          <w:b/>
          <w:i/>
          <w:lang w:eastAsia="zh-CN"/>
        </w:rPr>
        <w:t>P</w:t>
      </w:r>
      <w:r w:rsidRPr="002474AB">
        <w:rPr>
          <w:b/>
          <w:i/>
          <w:lang w:eastAsia="zh-CN"/>
        </w:rPr>
        <w:t xml:space="preserve">roposal 1: Use </w:t>
      </w:r>
      <w:r w:rsidRPr="002474AB">
        <w:rPr>
          <w:b/>
          <w:i/>
          <w:lang w:val="en-US" w:eastAsia="zh-CN"/>
        </w:rPr>
        <w:t>Duplex mode and SCS combinations as following:</w:t>
      </w:r>
    </w:p>
    <w:p w:rsidR="002474AB" w:rsidRPr="002474AB" w:rsidRDefault="002474AB" w:rsidP="001A7B8C">
      <w:pPr>
        <w:numPr>
          <w:ilvl w:val="0"/>
          <w:numId w:val="13"/>
        </w:numPr>
        <w:tabs>
          <w:tab w:val="left" w:pos="1985"/>
        </w:tabs>
        <w:spacing w:after="0"/>
        <w:rPr>
          <w:b/>
          <w:i/>
          <w:sz w:val="18"/>
          <w:lang w:val="en-US" w:eastAsia="zh-CN"/>
        </w:rPr>
      </w:pPr>
      <w:r w:rsidRPr="002474AB">
        <w:rPr>
          <w:b/>
          <w:i/>
          <w:sz w:val="18"/>
          <w:lang w:val="en-US" w:eastAsia="zh-CN"/>
        </w:rPr>
        <w:t>FR1: FDD + FDD with 15 kHz SCS and TDD + TDD with 30 kHz SCS</w:t>
      </w:r>
    </w:p>
    <w:p w:rsidR="00962E72" w:rsidRPr="002474AB" w:rsidRDefault="002474AB" w:rsidP="001A7B8C">
      <w:pPr>
        <w:numPr>
          <w:ilvl w:val="0"/>
          <w:numId w:val="13"/>
        </w:numPr>
        <w:tabs>
          <w:tab w:val="left" w:pos="1985"/>
        </w:tabs>
        <w:spacing w:after="0"/>
        <w:rPr>
          <w:rFonts w:hint="eastAsia"/>
          <w:b/>
          <w:i/>
          <w:sz w:val="18"/>
          <w:lang w:val="en-US" w:eastAsia="zh-CN"/>
        </w:rPr>
      </w:pPr>
      <w:r w:rsidRPr="002474AB">
        <w:rPr>
          <w:b/>
          <w:i/>
          <w:sz w:val="18"/>
          <w:lang w:val="en-US" w:eastAsia="zh-CN"/>
        </w:rPr>
        <w:t>FR2: TDD + TDD with 120 kHz SCS</w:t>
      </w:r>
    </w:p>
    <w:p w:rsidR="0008746A" w:rsidRDefault="00962E72" w:rsidP="002474AB">
      <w:pPr>
        <w:spacing w:beforeLines="50" w:before="120"/>
        <w:rPr>
          <w:b/>
          <w:u w:val="single"/>
          <w:lang w:val="en-US" w:eastAsia="zh-CN"/>
        </w:rPr>
      </w:pPr>
      <w:r w:rsidRPr="00962E72">
        <w:rPr>
          <w:b/>
          <w:u w:val="single"/>
          <w:lang w:val="en-US" w:eastAsia="zh-CN"/>
        </w:rPr>
        <w:t>Channel bandwidth and test applicability rule</w:t>
      </w:r>
    </w:p>
    <w:p w:rsidR="00266982" w:rsidRDefault="00266982" w:rsidP="006F6298">
      <w:pPr>
        <w:tabs>
          <w:tab w:val="left" w:pos="1985"/>
        </w:tabs>
        <w:spacing w:after="0"/>
        <w:rPr>
          <w:lang w:val="en-US" w:eastAsia="zh-CN"/>
        </w:rPr>
      </w:pPr>
      <w:r w:rsidRPr="006F6298">
        <w:rPr>
          <w:lang w:val="en-US" w:eastAsia="zh-CN"/>
        </w:rPr>
        <w:t xml:space="preserve">Based on our observations, it is feasible to define the CA CQI performance requirements in bandwidth agnostic way. </w:t>
      </w:r>
      <w:r w:rsidR="006F6298" w:rsidRPr="006F6298">
        <w:rPr>
          <w:lang w:val="en-US" w:eastAsia="zh-CN"/>
        </w:rPr>
        <w:t>F</w:t>
      </w:r>
      <w:r w:rsidR="006F6298" w:rsidRPr="006F6298">
        <w:rPr>
          <w:rFonts w:hint="eastAsia"/>
          <w:lang w:val="en-US" w:eastAsia="zh-CN"/>
        </w:rPr>
        <w:t>o</w:t>
      </w:r>
      <w:r w:rsidR="006F6298" w:rsidRPr="006F6298">
        <w:rPr>
          <w:lang w:val="en-US" w:eastAsia="zh-CN"/>
        </w:rPr>
        <w:t xml:space="preserve">r test </w:t>
      </w:r>
      <w:r w:rsidR="006F6298">
        <w:rPr>
          <w:lang w:val="en-US" w:eastAsia="zh-CN"/>
        </w:rPr>
        <w:t>a</w:t>
      </w:r>
      <w:r w:rsidR="006F6298" w:rsidRPr="006F6298">
        <w:rPr>
          <w:lang w:val="en-US" w:eastAsia="zh-CN"/>
        </w:rPr>
        <w:t xml:space="preserve">pplicability rule, we </w:t>
      </w:r>
      <w:r w:rsidR="006F6298">
        <w:rPr>
          <w:lang w:val="en-US" w:eastAsia="zh-CN"/>
        </w:rPr>
        <w:t>prefer to</w:t>
      </w:r>
      <w:r w:rsidR="006F6298" w:rsidRPr="006F6298">
        <w:rPr>
          <w:lang w:val="en-US" w:eastAsia="zh-CN"/>
        </w:rPr>
        <w:t xml:space="preserve"> reuse the LTE approach.</w:t>
      </w:r>
      <w:r>
        <w:rPr>
          <w:lang w:val="en-US" w:eastAsia="zh-CN"/>
        </w:rPr>
        <w:t xml:space="preserve"> </w:t>
      </w:r>
    </w:p>
    <w:p w:rsidR="002474AB" w:rsidRPr="006F6298" w:rsidRDefault="006F6298" w:rsidP="006F6298">
      <w:pPr>
        <w:tabs>
          <w:tab w:val="left" w:pos="1985"/>
        </w:tabs>
        <w:spacing w:beforeLines="50" w:before="120" w:after="0"/>
        <w:rPr>
          <w:b/>
          <w:i/>
          <w:lang w:eastAsia="zh-CN"/>
        </w:rPr>
      </w:pPr>
      <w:bookmarkStart w:id="5" w:name="OLE_LINK19"/>
      <w:r w:rsidRPr="006F6298">
        <w:rPr>
          <w:rFonts w:hint="eastAsia"/>
          <w:b/>
          <w:i/>
          <w:lang w:eastAsia="zh-CN"/>
        </w:rPr>
        <w:t>P</w:t>
      </w:r>
      <w:r w:rsidRPr="006F6298">
        <w:rPr>
          <w:b/>
          <w:i/>
          <w:lang w:eastAsia="zh-CN"/>
        </w:rPr>
        <w:t>roposal 2:</w:t>
      </w:r>
      <w:r>
        <w:rPr>
          <w:b/>
          <w:i/>
          <w:lang w:eastAsia="zh-CN"/>
        </w:rPr>
        <w:t xml:space="preserve"> Define the CA CQI performance requirements in bandwidth way and reuse the test applicability rule of LTE approach.</w:t>
      </w:r>
    </w:p>
    <w:bookmarkEnd w:id="5"/>
    <w:p w:rsidR="002474AB" w:rsidRDefault="006F6298" w:rsidP="002474AB">
      <w:pPr>
        <w:spacing w:beforeLines="50" w:before="120"/>
        <w:rPr>
          <w:b/>
          <w:u w:val="single"/>
          <w:lang w:val="en-US" w:eastAsia="zh-CN"/>
        </w:rPr>
      </w:pPr>
      <w:r>
        <w:rPr>
          <w:rFonts w:hint="eastAsia"/>
          <w:b/>
          <w:u w:val="single"/>
          <w:lang w:val="en-US" w:eastAsia="zh-CN"/>
        </w:rPr>
        <w:t>T</w:t>
      </w:r>
      <w:r>
        <w:rPr>
          <w:b/>
          <w:u w:val="single"/>
          <w:lang w:val="en-US" w:eastAsia="zh-CN"/>
        </w:rPr>
        <w:t>DD pattern for 120kHz SCS</w:t>
      </w:r>
    </w:p>
    <w:p w:rsidR="006F6298" w:rsidRDefault="006F6298" w:rsidP="006F6298">
      <w:pPr>
        <w:tabs>
          <w:tab w:val="left" w:pos="1985"/>
        </w:tabs>
        <w:spacing w:afterLines="50" w:after="120"/>
        <w:ind w:left="1979" w:hanging="1979"/>
        <w:rPr>
          <w:lang w:val="en-US" w:eastAsia="zh-CN"/>
        </w:rPr>
      </w:pPr>
      <w:r w:rsidRPr="00962E72">
        <w:rPr>
          <w:lang w:val="en-US" w:eastAsia="zh-CN"/>
        </w:rPr>
        <w:t>The options are shown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6F6298" w:rsidRPr="0008746A" w:rsidTr="0008746A">
        <w:trPr>
          <w:trHeight w:val="704"/>
        </w:trPr>
        <w:tc>
          <w:tcPr>
            <w:tcW w:w="10683" w:type="dxa"/>
            <w:shd w:val="clear" w:color="auto" w:fill="auto"/>
          </w:tcPr>
          <w:p w:rsidR="0008746A" w:rsidRPr="0008746A" w:rsidRDefault="0008746A" w:rsidP="001A7B8C">
            <w:pPr>
              <w:numPr>
                <w:ilvl w:val="0"/>
                <w:numId w:val="12"/>
              </w:numPr>
              <w:tabs>
                <w:tab w:val="num" w:pos="1440"/>
                <w:tab w:val="left" w:pos="1985"/>
              </w:tabs>
              <w:spacing w:after="0"/>
              <w:rPr>
                <w:i/>
                <w:sz w:val="18"/>
                <w:lang w:val="en-US" w:eastAsia="zh-CN"/>
              </w:rPr>
            </w:pPr>
            <w:r w:rsidRPr="0008746A">
              <w:rPr>
                <w:i/>
                <w:sz w:val="18"/>
                <w:lang w:val="en-US" w:eastAsia="zh-CN"/>
              </w:rPr>
              <w:t>TDD pattern for 120kHz SCS</w:t>
            </w:r>
          </w:p>
          <w:p w:rsidR="0008746A" w:rsidRPr="0008746A" w:rsidRDefault="0008746A" w:rsidP="001A7B8C">
            <w:pPr>
              <w:numPr>
                <w:ilvl w:val="0"/>
                <w:numId w:val="14"/>
              </w:numPr>
              <w:tabs>
                <w:tab w:val="left" w:pos="1985"/>
              </w:tabs>
              <w:spacing w:after="0"/>
              <w:rPr>
                <w:i/>
                <w:sz w:val="18"/>
                <w:lang w:val="en-US" w:eastAsia="zh-CN"/>
              </w:rPr>
            </w:pPr>
            <w:r w:rsidRPr="0008746A">
              <w:rPr>
                <w:i/>
                <w:sz w:val="18"/>
                <w:lang w:val="en-US" w:eastAsia="zh-CN"/>
              </w:rPr>
              <w:t>Option 1: 3D1S1U with S=10:2:2</w:t>
            </w:r>
          </w:p>
          <w:p w:rsidR="006F6298" w:rsidRPr="0008746A" w:rsidRDefault="0008746A" w:rsidP="001A7B8C">
            <w:pPr>
              <w:numPr>
                <w:ilvl w:val="0"/>
                <w:numId w:val="14"/>
              </w:numPr>
              <w:tabs>
                <w:tab w:val="left" w:pos="1985"/>
              </w:tabs>
              <w:spacing w:after="0"/>
              <w:rPr>
                <w:rFonts w:ascii="CG Times (WN)" w:hAnsi="CG Times (WN)" w:hint="eastAsia"/>
                <w:b/>
                <w:u w:val="single"/>
                <w:lang w:val="en-US" w:eastAsia="zh-CN"/>
              </w:rPr>
            </w:pPr>
            <w:r w:rsidRPr="0008746A">
              <w:rPr>
                <w:i/>
                <w:sz w:val="18"/>
                <w:lang w:val="en-US" w:eastAsia="zh-CN"/>
              </w:rPr>
              <w:t>Option 2: 2D1S1U with S=11:3:0</w:t>
            </w:r>
          </w:p>
        </w:tc>
      </w:tr>
    </w:tbl>
    <w:p w:rsidR="006F6298" w:rsidRPr="006F6298" w:rsidRDefault="006F6298" w:rsidP="006F6298">
      <w:pPr>
        <w:snapToGrid w:val="0"/>
        <w:spacing w:before="60" w:after="60"/>
        <w:rPr>
          <w:lang w:eastAsia="zh-CN"/>
        </w:rPr>
      </w:pPr>
      <w:r w:rsidRPr="006F6298">
        <w:rPr>
          <w:rFonts w:hint="eastAsia"/>
          <w:lang w:eastAsia="zh-CN"/>
        </w:rPr>
        <w:t>W</w:t>
      </w:r>
      <w:r w:rsidRPr="006F6298">
        <w:rPr>
          <w:lang w:eastAsia="zh-CN"/>
        </w:rPr>
        <w:t>e support option 1 of DDDSU</w:t>
      </w:r>
      <w:r>
        <w:rPr>
          <w:lang w:eastAsia="zh-CN"/>
        </w:rPr>
        <w:t xml:space="preserve"> since it is the most typical pattern. Also the UL PUSCH performance requirements only consider this TDD pattern for 120 kHz SCS.</w:t>
      </w:r>
    </w:p>
    <w:p w:rsidR="002474AB" w:rsidRDefault="006F6298" w:rsidP="006F6298">
      <w:pPr>
        <w:tabs>
          <w:tab w:val="left" w:pos="1985"/>
        </w:tabs>
        <w:spacing w:after="0"/>
        <w:rPr>
          <w:b/>
          <w:i/>
          <w:lang w:eastAsia="zh-CN"/>
        </w:rPr>
      </w:pPr>
      <w:r w:rsidRPr="006F6298">
        <w:rPr>
          <w:b/>
          <w:i/>
          <w:lang w:eastAsia="zh-CN"/>
        </w:rPr>
        <w:t>P</w:t>
      </w:r>
      <w:r w:rsidRPr="006F6298">
        <w:rPr>
          <w:rFonts w:hint="eastAsia"/>
          <w:b/>
          <w:i/>
          <w:lang w:eastAsia="zh-CN"/>
        </w:rPr>
        <w:t>r</w:t>
      </w:r>
      <w:r w:rsidRPr="006F6298">
        <w:rPr>
          <w:b/>
          <w:i/>
          <w:lang w:eastAsia="zh-CN"/>
        </w:rPr>
        <w:t>oposal 3: Use DDDSU as TDD pattern for 120</w:t>
      </w:r>
      <w:r w:rsidR="00512AD3">
        <w:rPr>
          <w:b/>
          <w:i/>
          <w:lang w:eastAsia="zh-CN"/>
        </w:rPr>
        <w:t xml:space="preserve"> </w:t>
      </w:r>
      <w:r w:rsidRPr="006F6298">
        <w:rPr>
          <w:b/>
          <w:i/>
          <w:lang w:eastAsia="zh-CN"/>
        </w:rPr>
        <w:t>kHz SCS</w:t>
      </w:r>
    </w:p>
    <w:p w:rsidR="001A7B8C" w:rsidRPr="00244703" w:rsidRDefault="00244703" w:rsidP="00244703">
      <w:pPr>
        <w:spacing w:beforeLines="50" w:before="120"/>
        <w:rPr>
          <w:b/>
          <w:u w:val="single"/>
          <w:lang w:val="en-US" w:eastAsia="zh-CN"/>
        </w:rPr>
      </w:pPr>
      <w:r w:rsidRPr="00244703">
        <w:rPr>
          <w:b/>
          <w:u w:val="single"/>
          <w:lang w:val="en-US" w:eastAsia="zh-CN"/>
        </w:rPr>
        <w:t>General principle</w:t>
      </w:r>
    </w:p>
    <w:p w:rsidR="00244703" w:rsidRPr="00244703" w:rsidRDefault="00244703" w:rsidP="00244703">
      <w:pPr>
        <w:tabs>
          <w:tab w:val="left" w:pos="1985"/>
        </w:tabs>
        <w:spacing w:afterLines="50" w:after="120"/>
        <w:ind w:left="1979" w:hanging="1979"/>
        <w:rPr>
          <w:rFonts w:hint="eastAsia"/>
          <w:lang w:val="en-US" w:eastAsia="zh-CN"/>
        </w:rPr>
      </w:pPr>
      <w:r w:rsidRPr="00962E72">
        <w:rPr>
          <w:lang w:val="en-US" w:eastAsia="zh-CN"/>
        </w:rPr>
        <w:t>The options are shown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244703" w:rsidRPr="001A7B8C" w:rsidTr="001A7B8C">
        <w:tc>
          <w:tcPr>
            <w:tcW w:w="10683" w:type="dxa"/>
            <w:shd w:val="clear" w:color="auto" w:fill="auto"/>
          </w:tcPr>
          <w:p w:rsidR="001A7B8C" w:rsidRPr="001A7B8C" w:rsidRDefault="001A7B8C" w:rsidP="001A7B8C">
            <w:pPr>
              <w:numPr>
                <w:ilvl w:val="0"/>
                <w:numId w:val="15"/>
              </w:numPr>
              <w:tabs>
                <w:tab w:val="left" w:pos="1985"/>
              </w:tabs>
              <w:spacing w:after="0"/>
              <w:rPr>
                <w:i/>
                <w:lang w:val="en-US" w:eastAsia="zh-CN"/>
              </w:rPr>
            </w:pPr>
            <w:r w:rsidRPr="001A7B8C">
              <w:rPr>
                <w:i/>
                <w:lang w:val="en-US" w:eastAsia="zh-CN"/>
              </w:rPr>
              <w:lastRenderedPageBreak/>
              <w:t>General principle</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Following the methodology used in LTE, the difference between the wideband CQI indices of Pcell and the first Scell as well as the difference between the wideband CQI indices of the first Scell and the other Scell(s) (if any) shall be not smaller than a threshold, for more than 90% of the time</w:t>
            </w:r>
          </w:p>
          <w:p w:rsidR="001A7B8C" w:rsidRPr="001A7B8C" w:rsidRDefault="001A7B8C" w:rsidP="001A7B8C">
            <w:pPr>
              <w:numPr>
                <w:ilvl w:val="0"/>
                <w:numId w:val="15"/>
              </w:numPr>
              <w:tabs>
                <w:tab w:val="num" w:pos="1440"/>
                <w:tab w:val="left" w:pos="1985"/>
              </w:tabs>
              <w:spacing w:after="0"/>
              <w:rPr>
                <w:i/>
                <w:lang w:val="en-US" w:eastAsia="zh-CN"/>
              </w:rPr>
            </w:pPr>
            <w:r w:rsidRPr="001A7B8C">
              <w:rPr>
                <w:i/>
                <w:lang w:val="en-US" w:eastAsia="zh-CN"/>
              </w:rPr>
              <w:t>SNR configuration for 2DL CA CQI test</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Option 1: SNR</w:t>
            </w:r>
            <w:r w:rsidRPr="001A7B8C">
              <w:rPr>
                <w:i/>
                <w:vertAlign w:val="subscript"/>
                <w:lang w:val="en-US" w:eastAsia="zh-CN"/>
              </w:rPr>
              <w:t>Pcell</w:t>
            </w:r>
            <w:r w:rsidRPr="001A7B8C">
              <w:rPr>
                <w:i/>
                <w:lang w:val="en-US" w:eastAsia="zh-CN"/>
              </w:rPr>
              <w:t xml:space="preserve"> = 10dB and SNR</w:t>
            </w:r>
            <w:r w:rsidRPr="001A7B8C">
              <w:rPr>
                <w:i/>
                <w:vertAlign w:val="subscript"/>
                <w:lang w:val="en-US" w:eastAsia="zh-CN"/>
              </w:rPr>
              <w:t>Scell</w:t>
            </w:r>
            <w:r w:rsidRPr="001A7B8C">
              <w:rPr>
                <w:i/>
                <w:lang w:val="en-US" w:eastAsia="zh-CN"/>
              </w:rPr>
              <w:t xml:space="preserve"> = 4dB  </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Other options are not precluded</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Make decision in the next meeting</w:t>
            </w:r>
          </w:p>
          <w:p w:rsidR="001A7B8C" w:rsidRPr="001A7B8C" w:rsidRDefault="001A7B8C" w:rsidP="001A7B8C">
            <w:pPr>
              <w:numPr>
                <w:ilvl w:val="0"/>
                <w:numId w:val="15"/>
              </w:numPr>
              <w:tabs>
                <w:tab w:val="num" w:pos="1440"/>
                <w:tab w:val="left" w:pos="1985"/>
              </w:tabs>
              <w:spacing w:after="0"/>
              <w:rPr>
                <w:i/>
                <w:lang w:val="en-US" w:eastAsia="zh-CN"/>
              </w:rPr>
            </w:pPr>
            <w:r w:rsidRPr="001A7B8C">
              <w:rPr>
                <w:i/>
                <w:lang w:val="en-US" w:eastAsia="zh-CN"/>
              </w:rPr>
              <w:t>SNR configuration for 3 or more DL CA CQI test</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Option 1: SNR</w:t>
            </w:r>
            <w:r w:rsidRPr="001A7B8C">
              <w:rPr>
                <w:i/>
                <w:vertAlign w:val="subscript"/>
                <w:lang w:val="en-US" w:eastAsia="zh-CN"/>
              </w:rPr>
              <w:t>Pcell</w:t>
            </w:r>
            <w:r w:rsidRPr="001A7B8C">
              <w:rPr>
                <w:i/>
                <w:lang w:val="en-US" w:eastAsia="zh-CN"/>
              </w:rPr>
              <w:t xml:space="preserve"> = 12dB, SNR</w:t>
            </w:r>
            <w:r w:rsidRPr="001A7B8C">
              <w:rPr>
                <w:i/>
                <w:vertAlign w:val="subscript"/>
                <w:lang w:val="en-US" w:eastAsia="zh-CN"/>
              </w:rPr>
              <w:t>Scell1</w:t>
            </w:r>
            <w:r w:rsidRPr="001A7B8C">
              <w:rPr>
                <w:i/>
                <w:lang w:val="en-US" w:eastAsia="zh-CN"/>
              </w:rPr>
              <w:t xml:space="preserve"> = 6dB, SNR</w:t>
            </w:r>
            <w:r w:rsidRPr="001A7B8C">
              <w:rPr>
                <w:i/>
                <w:vertAlign w:val="subscript"/>
                <w:lang w:val="en-US" w:eastAsia="zh-CN"/>
              </w:rPr>
              <w:t xml:space="preserve">Scell2, 3,… </w:t>
            </w:r>
            <w:r w:rsidRPr="001A7B8C">
              <w:rPr>
                <w:i/>
                <w:lang w:val="en-US" w:eastAsia="zh-CN"/>
              </w:rPr>
              <w:t>= 0dB</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Other options are not precluded</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Make decision in the next meeting</w:t>
            </w:r>
          </w:p>
          <w:p w:rsidR="001A7B8C" w:rsidRPr="001A7B8C" w:rsidRDefault="001A7B8C" w:rsidP="001A7B8C">
            <w:pPr>
              <w:numPr>
                <w:ilvl w:val="0"/>
                <w:numId w:val="15"/>
              </w:numPr>
              <w:tabs>
                <w:tab w:val="num" w:pos="1440"/>
                <w:tab w:val="left" w:pos="1985"/>
                <w:tab w:val="num" w:pos="2160"/>
              </w:tabs>
              <w:spacing w:after="0"/>
              <w:rPr>
                <w:i/>
                <w:lang w:val="en-US" w:eastAsia="zh-CN"/>
              </w:rPr>
            </w:pPr>
            <w:r w:rsidRPr="001A7B8C">
              <w:rPr>
                <w:i/>
                <w:lang w:val="en-US" w:eastAsia="zh-CN"/>
              </w:rPr>
              <w:t>Delta CQI threshold for CA CQI test</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 xml:space="preserve">Option 1: </w:t>
            </w:r>
            <w:r w:rsidRPr="001A7B8C">
              <w:rPr>
                <w:i/>
                <w:iCs/>
                <w:lang w:val="en-US" w:eastAsia="zh-CN"/>
              </w:rPr>
              <w:t>thr</w:t>
            </w:r>
            <w:r w:rsidRPr="001A7B8C">
              <w:rPr>
                <w:i/>
                <w:lang w:val="en-US" w:eastAsia="zh-CN"/>
              </w:rPr>
              <w:t xml:space="preserve"> = 2 for 2 or more DL CA </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Other options are not precluded</w:t>
            </w:r>
          </w:p>
          <w:p w:rsidR="001A7B8C" w:rsidRPr="001A7B8C" w:rsidRDefault="001A7B8C" w:rsidP="001A7B8C">
            <w:pPr>
              <w:numPr>
                <w:ilvl w:val="1"/>
                <w:numId w:val="15"/>
              </w:numPr>
              <w:tabs>
                <w:tab w:val="left" w:pos="1985"/>
              </w:tabs>
              <w:spacing w:after="0"/>
              <w:rPr>
                <w:i/>
                <w:lang w:val="en-US" w:eastAsia="zh-CN"/>
              </w:rPr>
            </w:pPr>
            <w:r w:rsidRPr="001A7B8C">
              <w:rPr>
                <w:i/>
                <w:lang w:val="en-US" w:eastAsia="zh-CN"/>
              </w:rPr>
              <w:t>Make decision in the next meeting</w:t>
            </w:r>
          </w:p>
          <w:p w:rsidR="00244703" w:rsidRPr="001A7B8C" w:rsidRDefault="00244703" w:rsidP="001A7B8C">
            <w:pPr>
              <w:tabs>
                <w:tab w:val="left" w:pos="1985"/>
              </w:tabs>
              <w:spacing w:after="0"/>
              <w:rPr>
                <w:rFonts w:ascii="CG Times (WN)" w:hAnsi="CG Times (WN)" w:hint="eastAsia"/>
                <w:b/>
                <w:i/>
                <w:lang w:val="en-US" w:eastAsia="zh-CN"/>
              </w:rPr>
            </w:pPr>
          </w:p>
        </w:tc>
      </w:tr>
    </w:tbl>
    <w:p w:rsidR="00244703" w:rsidRDefault="00244703" w:rsidP="00244703">
      <w:pPr>
        <w:pStyle w:val="afb"/>
        <w:snapToGrid w:val="0"/>
        <w:jc w:val="center"/>
        <w:rPr>
          <w:rFonts w:eastAsia="等线"/>
          <w:b/>
          <w:bCs/>
          <w:sz w:val="18"/>
          <w:szCs w:val="22"/>
          <w:lang w:eastAsia="zh-CN"/>
        </w:rPr>
      </w:pPr>
    </w:p>
    <w:p w:rsidR="00783FC0" w:rsidRPr="00783FC0" w:rsidRDefault="00783FC0" w:rsidP="00783FC0">
      <w:pPr>
        <w:snapToGrid w:val="0"/>
        <w:spacing w:before="60" w:after="60"/>
        <w:rPr>
          <w:lang w:eastAsia="zh-CN"/>
        </w:rPr>
      </w:pPr>
      <w:r w:rsidRPr="00783FC0">
        <w:rPr>
          <w:rFonts w:hint="eastAsia"/>
          <w:lang w:eastAsia="zh-CN"/>
        </w:rPr>
        <w:t>T</w:t>
      </w:r>
      <w:r w:rsidRPr="00783FC0">
        <w:rPr>
          <w:lang w:eastAsia="zh-CN"/>
        </w:rPr>
        <w:t xml:space="preserve">able 1 and Table 2 are </w:t>
      </w:r>
      <w:r>
        <w:rPr>
          <w:lang w:eastAsia="zh-CN"/>
        </w:rPr>
        <w:t xml:space="preserve">simulation results. The SNR configuration </w:t>
      </w:r>
      <w:r w:rsidR="001824E8">
        <w:rPr>
          <w:lang w:eastAsia="zh-CN"/>
        </w:rPr>
        <w:t xml:space="preserve">is used from option 1. </w:t>
      </w:r>
    </w:p>
    <w:p w:rsidR="00244703" w:rsidRDefault="00244703" w:rsidP="00244703">
      <w:pPr>
        <w:pStyle w:val="afb"/>
        <w:snapToGrid w:val="0"/>
        <w:jc w:val="center"/>
        <w:rPr>
          <w:rFonts w:eastAsia="等线"/>
          <w:b/>
          <w:bCs/>
          <w:sz w:val="18"/>
          <w:szCs w:val="22"/>
          <w:lang w:val="x-none" w:eastAsia="zh-CN"/>
        </w:rPr>
      </w:pPr>
      <w:r>
        <w:rPr>
          <w:rFonts w:eastAsia="等线"/>
          <w:b/>
          <w:bCs/>
          <w:sz w:val="18"/>
          <w:szCs w:val="22"/>
          <w:lang w:eastAsia="zh-CN"/>
        </w:rPr>
        <w:t>Table 1: Distribution of delta CQI for 2 DL CA (SNR</w:t>
      </w:r>
      <w:r>
        <w:rPr>
          <w:rFonts w:eastAsia="等线"/>
          <w:b/>
          <w:bCs/>
          <w:sz w:val="18"/>
          <w:szCs w:val="22"/>
          <w:vertAlign w:val="subscript"/>
          <w:lang w:eastAsia="zh-CN"/>
        </w:rPr>
        <w:t>Pcell</w:t>
      </w:r>
      <w:r>
        <w:rPr>
          <w:rFonts w:eastAsia="等线"/>
          <w:b/>
          <w:bCs/>
          <w:sz w:val="18"/>
          <w:szCs w:val="22"/>
          <w:lang w:eastAsia="zh-CN"/>
        </w:rPr>
        <w:t xml:space="preserve"> = 10dB, SNR</w:t>
      </w:r>
      <w:r>
        <w:rPr>
          <w:rFonts w:eastAsia="等线"/>
          <w:b/>
          <w:bCs/>
          <w:sz w:val="18"/>
          <w:szCs w:val="22"/>
          <w:vertAlign w:val="subscript"/>
          <w:lang w:eastAsia="zh-CN"/>
        </w:rPr>
        <w:t>Scell</w:t>
      </w:r>
      <w:r>
        <w:rPr>
          <w:rFonts w:eastAsia="等线"/>
          <w:b/>
          <w:bCs/>
          <w:sz w:val="18"/>
          <w:szCs w:val="22"/>
          <w:lang w:eastAsia="zh-CN"/>
        </w:rPr>
        <w:t xml:space="preserve"> = 4dB, PCell: 10MHz,</w:t>
      </w:r>
      <w:r w:rsidRPr="00244703">
        <w:rPr>
          <w:rFonts w:eastAsia="等线"/>
          <w:b/>
          <w:bCs/>
          <w:sz w:val="18"/>
          <w:szCs w:val="22"/>
          <w:lang w:eastAsia="zh-CN"/>
        </w:rPr>
        <w:t xml:space="preserve"> </w:t>
      </w:r>
      <w:r>
        <w:rPr>
          <w:rFonts w:eastAsia="等线"/>
          <w:b/>
          <w:bCs/>
          <w:sz w:val="18"/>
          <w:szCs w:val="22"/>
          <w:lang w:eastAsia="zh-CN"/>
        </w:rPr>
        <w:t>PCell: 10MHz,</w:t>
      </w:r>
      <w:r w:rsidRPr="00244703">
        <w:rPr>
          <w:rFonts w:eastAsia="等线"/>
          <w:b/>
          <w:bCs/>
          <w:sz w:val="18"/>
          <w:szCs w:val="22"/>
          <w:lang w:eastAsia="zh-CN"/>
        </w:rPr>
        <w:t xml:space="preserve"> </w:t>
      </w:r>
      <w:r>
        <w:rPr>
          <w:rFonts w:eastAsia="等线"/>
          <w:b/>
          <w:bCs/>
          <w:sz w:val="18"/>
          <w:szCs w:val="22"/>
          <w:lang w:eastAsia="zh-CN"/>
        </w:rPr>
        <w:t>SCell: 10MHz)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2067"/>
        <w:gridCol w:w="1786"/>
        <w:gridCol w:w="3645"/>
      </w:tblGrid>
      <w:tr w:rsidR="00244703" w:rsidTr="001A7B8C">
        <w:trPr>
          <w:jc w:val="center"/>
        </w:trPr>
        <w:tc>
          <w:tcPr>
            <w:tcW w:w="3018" w:type="dxa"/>
            <w:tcBorders>
              <w:top w:val="single" w:sz="4" w:space="0" w:color="auto"/>
              <w:left w:val="single" w:sz="4" w:space="0" w:color="auto"/>
              <w:bottom w:val="single" w:sz="4" w:space="0" w:color="auto"/>
              <w:right w:val="single" w:sz="4" w:space="0" w:color="auto"/>
            </w:tcBorders>
            <w:hideMark/>
          </w:tcPr>
          <w:p w:rsidR="00244703" w:rsidRDefault="00244703">
            <w:pPr>
              <w:snapToGrid w:val="0"/>
              <w:spacing w:before="40" w:after="40"/>
              <w:jc w:val="center"/>
              <w:rPr>
                <w:rFonts w:eastAsia="Times New Roman"/>
                <w:szCs w:val="24"/>
                <w:lang w:eastAsia="zh-CN"/>
              </w:rPr>
            </w:pPr>
            <w:r>
              <w:rPr>
                <w:lang w:eastAsia="zh-CN"/>
              </w:rPr>
              <w:t>Test metric</w:t>
            </w:r>
          </w:p>
        </w:tc>
        <w:tc>
          <w:tcPr>
            <w:tcW w:w="7665" w:type="dxa"/>
            <w:gridSpan w:val="3"/>
            <w:tcBorders>
              <w:top w:val="single" w:sz="4" w:space="0" w:color="auto"/>
              <w:left w:val="single" w:sz="4" w:space="0" w:color="auto"/>
              <w:bottom w:val="single" w:sz="4" w:space="0" w:color="auto"/>
              <w:right w:val="single" w:sz="4" w:space="0" w:color="auto"/>
            </w:tcBorders>
            <w:vAlign w:val="center"/>
            <w:hideMark/>
          </w:tcPr>
          <w:p w:rsidR="00244703" w:rsidRDefault="00244703">
            <w:pPr>
              <w:snapToGrid w:val="0"/>
              <w:spacing w:before="40" w:after="40"/>
              <w:jc w:val="center"/>
              <w:rPr>
                <w:lang w:eastAsia="zh-CN"/>
              </w:rPr>
            </w:pPr>
            <w:r>
              <w:rPr>
                <w:lang w:eastAsia="zh-CN"/>
              </w:rPr>
              <w:t>wideband CQI</w:t>
            </w:r>
            <w:r>
              <w:rPr>
                <w:vertAlign w:val="subscript"/>
                <w:lang w:eastAsia="zh-CN"/>
              </w:rPr>
              <w:t>Pcell</w:t>
            </w:r>
            <w:r>
              <w:rPr>
                <w:lang w:eastAsia="zh-CN"/>
              </w:rPr>
              <w:t xml:space="preserve"> – wideband CQI</w:t>
            </w:r>
            <w:r>
              <w:rPr>
                <w:vertAlign w:val="subscript"/>
                <w:lang w:eastAsia="zh-CN"/>
              </w:rPr>
              <w:t>Scell</w:t>
            </w:r>
            <w:r>
              <w:rPr>
                <w:lang w:eastAsia="zh-CN"/>
              </w:rPr>
              <w:t xml:space="preserve"> ≥ x</w:t>
            </w:r>
          </w:p>
        </w:tc>
      </w:tr>
      <w:tr w:rsidR="00244703" w:rsidTr="00244703">
        <w:trPr>
          <w:jc w:val="center"/>
        </w:trPr>
        <w:tc>
          <w:tcPr>
            <w:tcW w:w="3018" w:type="dxa"/>
            <w:vMerge w:val="restart"/>
            <w:tcBorders>
              <w:top w:val="single" w:sz="4" w:space="0" w:color="auto"/>
              <w:left w:val="single" w:sz="4" w:space="0" w:color="auto"/>
              <w:right w:val="single" w:sz="4" w:space="0" w:color="auto"/>
            </w:tcBorders>
            <w:hideMark/>
          </w:tcPr>
          <w:p w:rsidR="00244703" w:rsidRDefault="00244703" w:rsidP="00244703">
            <w:pPr>
              <w:snapToGrid w:val="0"/>
              <w:spacing w:before="40" w:after="40"/>
              <w:jc w:val="center"/>
              <w:rPr>
                <w:rFonts w:eastAsia="等线"/>
                <w:lang w:eastAsia="zh-CN"/>
              </w:rPr>
            </w:pPr>
          </w:p>
          <w:p w:rsidR="00244703" w:rsidRDefault="00244703" w:rsidP="00244703">
            <w:pPr>
              <w:snapToGrid w:val="0"/>
              <w:spacing w:before="40" w:after="40"/>
              <w:jc w:val="center"/>
              <w:rPr>
                <w:rFonts w:eastAsia="等线" w:hint="eastAsia"/>
                <w:lang w:eastAsia="zh-CN"/>
              </w:rPr>
            </w:pPr>
            <w:r>
              <w:rPr>
                <w:rFonts w:eastAsia="等线"/>
                <w:lang w:eastAsia="zh-CN"/>
              </w:rPr>
              <w:t>Percentage</w:t>
            </w:r>
          </w:p>
        </w:tc>
        <w:tc>
          <w:tcPr>
            <w:tcW w:w="2110" w:type="dxa"/>
            <w:tcBorders>
              <w:top w:val="single" w:sz="4" w:space="0" w:color="auto"/>
              <w:left w:val="single" w:sz="4" w:space="0" w:color="auto"/>
              <w:bottom w:val="single" w:sz="4" w:space="0" w:color="auto"/>
              <w:right w:val="single" w:sz="4" w:space="0" w:color="auto"/>
            </w:tcBorders>
            <w:vAlign w:val="center"/>
            <w:hideMark/>
          </w:tcPr>
          <w:p w:rsidR="00244703" w:rsidRDefault="00244703">
            <w:pPr>
              <w:snapToGrid w:val="0"/>
              <w:spacing w:before="40" w:after="40"/>
              <w:jc w:val="center"/>
              <w:rPr>
                <w:rFonts w:eastAsia="等线"/>
                <w:lang w:eastAsia="zh-CN"/>
              </w:rPr>
            </w:pPr>
            <w:r>
              <w:rPr>
                <w:rFonts w:eastAsia="等线"/>
                <w:lang w:eastAsia="zh-CN"/>
              </w:rPr>
              <w:t>1</w:t>
            </w:r>
          </w:p>
        </w:tc>
        <w:tc>
          <w:tcPr>
            <w:tcW w:w="1819" w:type="dxa"/>
            <w:tcBorders>
              <w:top w:val="single" w:sz="4" w:space="0" w:color="auto"/>
              <w:left w:val="single" w:sz="4" w:space="0" w:color="auto"/>
              <w:bottom w:val="single" w:sz="4" w:space="0" w:color="auto"/>
              <w:right w:val="single" w:sz="4" w:space="0" w:color="auto"/>
            </w:tcBorders>
            <w:vAlign w:val="center"/>
            <w:hideMark/>
          </w:tcPr>
          <w:p w:rsidR="00244703" w:rsidRDefault="00244703">
            <w:pPr>
              <w:snapToGrid w:val="0"/>
              <w:spacing w:before="40" w:after="40"/>
              <w:jc w:val="center"/>
              <w:rPr>
                <w:rFonts w:eastAsia="等线"/>
                <w:lang w:eastAsia="zh-CN"/>
              </w:rPr>
            </w:pPr>
            <w:r>
              <w:rPr>
                <w:rFonts w:eastAsia="等线"/>
                <w:lang w:eastAsia="zh-CN"/>
              </w:rPr>
              <w:t>2</w:t>
            </w:r>
          </w:p>
        </w:tc>
        <w:tc>
          <w:tcPr>
            <w:tcW w:w="3736" w:type="dxa"/>
            <w:tcBorders>
              <w:top w:val="single" w:sz="4" w:space="0" w:color="auto"/>
              <w:left w:val="single" w:sz="4" w:space="0" w:color="auto"/>
              <w:bottom w:val="single" w:sz="4" w:space="0" w:color="auto"/>
              <w:right w:val="single" w:sz="4" w:space="0" w:color="auto"/>
            </w:tcBorders>
          </w:tcPr>
          <w:p w:rsidR="00244703" w:rsidRDefault="00244703">
            <w:pPr>
              <w:snapToGrid w:val="0"/>
              <w:spacing w:before="40" w:after="40"/>
              <w:jc w:val="center"/>
              <w:rPr>
                <w:rFonts w:eastAsia="等线"/>
                <w:lang w:eastAsia="zh-CN"/>
              </w:rPr>
            </w:pPr>
            <w:r>
              <w:rPr>
                <w:rFonts w:eastAsia="等线" w:hint="eastAsia"/>
                <w:lang w:eastAsia="zh-CN"/>
              </w:rPr>
              <w:t>3</w:t>
            </w:r>
          </w:p>
        </w:tc>
      </w:tr>
      <w:tr w:rsidR="00244703" w:rsidTr="00244703">
        <w:trPr>
          <w:trHeight w:val="208"/>
          <w:jc w:val="center"/>
        </w:trPr>
        <w:tc>
          <w:tcPr>
            <w:tcW w:w="3018" w:type="dxa"/>
            <w:vMerge/>
            <w:tcBorders>
              <w:left w:val="single" w:sz="4" w:space="0" w:color="auto"/>
              <w:right w:val="single" w:sz="4" w:space="0" w:color="auto"/>
            </w:tcBorders>
            <w:vAlign w:val="center"/>
            <w:hideMark/>
          </w:tcPr>
          <w:p w:rsidR="00244703" w:rsidRDefault="00244703" w:rsidP="001A7B8C">
            <w:pPr>
              <w:rPr>
                <w:rFonts w:eastAsia="等线"/>
                <w:lang w:eastAsia="zh-CN"/>
              </w:rPr>
            </w:pPr>
          </w:p>
        </w:tc>
        <w:tc>
          <w:tcPr>
            <w:tcW w:w="2110" w:type="dxa"/>
            <w:tcBorders>
              <w:top w:val="single" w:sz="4" w:space="0" w:color="auto"/>
              <w:left w:val="single" w:sz="4" w:space="0" w:color="auto"/>
              <w:right w:val="single" w:sz="4" w:space="0" w:color="auto"/>
            </w:tcBorders>
            <w:vAlign w:val="center"/>
            <w:hideMark/>
          </w:tcPr>
          <w:p w:rsidR="00244703" w:rsidRDefault="00244703" w:rsidP="001A7B8C">
            <w:pPr>
              <w:snapToGrid w:val="0"/>
              <w:spacing w:before="40" w:after="40"/>
              <w:jc w:val="center"/>
              <w:rPr>
                <w:rFonts w:eastAsia="Times New Roman"/>
                <w:lang w:eastAsia="zh-CN"/>
              </w:rPr>
            </w:pPr>
            <w:r>
              <w:rPr>
                <w:lang w:eastAsia="zh-CN"/>
              </w:rPr>
              <w:t>100%</w:t>
            </w:r>
          </w:p>
        </w:tc>
        <w:tc>
          <w:tcPr>
            <w:tcW w:w="1819" w:type="dxa"/>
            <w:tcBorders>
              <w:top w:val="single" w:sz="4" w:space="0" w:color="auto"/>
              <w:left w:val="single" w:sz="4" w:space="0" w:color="auto"/>
              <w:right w:val="single" w:sz="4" w:space="0" w:color="auto"/>
            </w:tcBorders>
            <w:vAlign w:val="center"/>
            <w:hideMark/>
          </w:tcPr>
          <w:p w:rsidR="00244703" w:rsidRDefault="00244703" w:rsidP="00783FC0">
            <w:pPr>
              <w:snapToGrid w:val="0"/>
              <w:spacing w:before="40" w:after="40"/>
              <w:jc w:val="center"/>
              <w:rPr>
                <w:rFonts w:hint="eastAsia"/>
                <w:lang w:eastAsia="zh-CN"/>
              </w:rPr>
            </w:pPr>
            <w:r>
              <w:rPr>
                <w:lang w:eastAsia="zh-CN"/>
              </w:rPr>
              <w:t>9</w:t>
            </w:r>
            <w:r w:rsidR="00783FC0">
              <w:rPr>
                <w:lang w:eastAsia="zh-CN"/>
              </w:rPr>
              <w:t>8</w:t>
            </w:r>
            <w:r>
              <w:rPr>
                <w:lang w:eastAsia="zh-CN"/>
              </w:rPr>
              <w:t>.</w:t>
            </w:r>
            <w:r w:rsidR="00783FC0">
              <w:rPr>
                <w:lang w:eastAsia="zh-CN"/>
              </w:rPr>
              <w:t>4</w:t>
            </w:r>
            <w:r>
              <w:rPr>
                <w:lang w:eastAsia="zh-CN"/>
              </w:rPr>
              <w:t>%</w:t>
            </w:r>
          </w:p>
        </w:tc>
        <w:tc>
          <w:tcPr>
            <w:tcW w:w="3736" w:type="dxa"/>
            <w:tcBorders>
              <w:top w:val="single" w:sz="4" w:space="0" w:color="auto"/>
              <w:left w:val="single" w:sz="4" w:space="0" w:color="auto"/>
              <w:right w:val="single" w:sz="4" w:space="0" w:color="auto"/>
            </w:tcBorders>
            <w:vAlign w:val="center"/>
          </w:tcPr>
          <w:p w:rsidR="00244703" w:rsidRDefault="00244703" w:rsidP="00783FC0">
            <w:pPr>
              <w:snapToGrid w:val="0"/>
              <w:spacing w:before="40" w:after="40"/>
              <w:jc w:val="center"/>
              <w:rPr>
                <w:lang w:eastAsia="zh-CN"/>
              </w:rPr>
            </w:pPr>
            <w:r>
              <w:rPr>
                <w:lang w:eastAsia="zh-CN"/>
              </w:rPr>
              <w:t>7</w:t>
            </w:r>
            <w:r w:rsidR="00BE2DDE">
              <w:rPr>
                <w:lang w:eastAsia="zh-CN"/>
              </w:rPr>
              <w:t>5</w:t>
            </w:r>
            <w:r>
              <w:rPr>
                <w:lang w:eastAsia="zh-CN"/>
              </w:rPr>
              <w:t>.</w:t>
            </w:r>
            <w:r w:rsidR="00783FC0">
              <w:rPr>
                <w:lang w:eastAsia="zh-CN"/>
              </w:rPr>
              <w:t>8</w:t>
            </w:r>
            <w:r>
              <w:rPr>
                <w:rFonts w:hint="eastAsia"/>
                <w:lang w:eastAsia="zh-CN"/>
              </w:rPr>
              <w:t>%</w:t>
            </w:r>
          </w:p>
        </w:tc>
      </w:tr>
    </w:tbl>
    <w:p w:rsidR="00244703" w:rsidRDefault="00244703" w:rsidP="00244703">
      <w:pPr>
        <w:pStyle w:val="afb"/>
        <w:snapToGrid w:val="0"/>
        <w:rPr>
          <w:rFonts w:eastAsia="MS Mincho"/>
        </w:rPr>
      </w:pPr>
    </w:p>
    <w:p w:rsidR="00244703" w:rsidRDefault="00244703" w:rsidP="00244703">
      <w:pPr>
        <w:pStyle w:val="afb"/>
        <w:snapToGrid w:val="0"/>
        <w:jc w:val="center"/>
        <w:rPr>
          <w:rFonts w:eastAsia="等线"/>
          <w:b/>
          <w:bCs/>
          <w:sz w:val="18"/>
          <w:szCs w:val="22"/>
          <w:lang w:eastAsia="zh-CN"/>
        </w:rPr>
      </w:pPr>
      <w:r>
        <w:rPr>
          <w:rFonts w:eastAsia="等线"/>
          <w:b/>
          <w:bCs/>
          <w:sz w:val="18"/>
          <w:szCs w:val="22"/>
          <w:lang w:eastAsia="zh-CN"/>
        </w:rPr>
        <w:t>Table 2: Distribution of delta CQI for 3 DL CA (SNR</w:t>
      </w:r>
      <w:r>
        <w:rPr>
          <w:rFonts w:eastAsia="等线"/>
          <w:b/>
          <w:bCs/>
          <w:sz w:val="18"/>
          <w:szCs w:val="22"/>
          <w:vertAlign w:val="subscript"/>
          <w:lang w:eastAsia="zh-CN"/>
        </w:rPr>
        <w:t>Pcell</w:t>
      </w:r>
      <w:r>
        <w:rPr>
          <w:rFonts w:eastAsia="等线"/>
          <w:b/>
          <w:bCs/>
          <w:sz w:val="18"/>
          <w:szCs w:val="22"/>
          <w:lang w:eastAsia="zh-CN"/>
        </w:rPr>
        <w:t xml:space="preserve"> = 12dB, SNR</w:t>
      </w:r>
      <w:r>
        <w:rPr>
          <w:rFonts w:eastAsia="等线"/>
          <w:b/>
          <w:bCs/>
          <w:sz w:val="18"/>
          <w:szCs w:val="22"/>
          <w:vertAlign w:val="subscript"/>
          <w:lang w:eastAsia="zh-CN"/>
        </w:rPr>
        <w:t>Scell1</w:t>
      </w:r>
      <w:r>
        <w:rPr>
          <w:rFonts w:eastAsia="等线"/>
          <w:b/>
          <w:bCs/>
          <w:sz w:val="18"/>
          <w:szCs w:val="22"/>
          <w:lang w:eastAsia="zh-CN"/>
        </w:rPr>
        <w:t xml:space="preserve"> = 6dB, SNR</w:t>
      </w:r>
      <w:r>
        <w:rPr>
          <w:rFonts w:eastAsia="等线"/>
          <w:b/>
          <w:bCs/>
          <w:sz w:val="18"/>
          <w:szCs w:val="22"/>
          <w:vertAlign w:val="subscript"/>
          <w:lang w:eastAsia="zh-CN"/>
        </w:rPr>
        <w:t>Scell2</w:t>
      </w:r>
      <w:r>
        <w:rPr>
          <w:rFonts w:eastAsia="等线"/>
          <w:b/>
          <w:bCs/>
          <w:sz w:val="18"/>
          <w:szCs w:val="22"/>
          <w:lang w:eastAsia="zh-CN"/>
        </w:rPr>
        <w:t xml:space="preserve"> = 0dB</w:t>
      </w:r>
      <w:r w:rsidR="00783FC0">
        <w:rPr>
          <w:rFonts w:eastAsia="等线"/>
          <w:b/>
          <w:bCs/>
          <w:sz w:val="18"/>
          <w:szCs w:val="22"/>
          <w:lang w:eastAsia="zh-CN"/>
        </w:rPr>
        <w:t>,</w:t>
      </w:r>
      <w:r w:rsidR="00783FC0" w:rsidRPr="00783FC0">
        <w:rPr>
          <w:rFonts w:eastAsia="等线"/>
          <w:b/>
          <w:bCs/>
          <w:sz w:val="18"/>
          <w:szCs w:val="22"/>
          <w:lang w:eastAsia="zh-CN"/>
        </w:rPr>
        <w:t xml:space="preserve"> </w:t>
      </w:r>
      <w:r w:rsidR="00783FC0">
        <w:rPr>
          <w:rFonts w:eastAsia="等线"/>
          <w:b/>
          <w:bCs/>
          <w:sz w:val="18"/>
          <w:szCs w:val="22"/>
          <w:lang w:eastAsia="zh-CN"/>
        </w:rPr>
        <w:t>PCell: 10MHz,</w:t>
      </w:r>
      <w:r w:rsidR="00783FC0" w:rsidRPr="00244703">
        <w:rPr>
          <w:rFonts w:eastAsia="等线"/>
          <w:b/>
          <w:bCs/>
          <w:sz w:val="18"/>
          <w:szCs w:val="22"/>
          <w:lang w:eastAsia="zh-CN"/>
        </w:rPr>
        <w:t xml:space="preserve"> </w:t>
      </w:r>
      <w:r w:rsidR="00783FC0">
        <w:rPr>
          <w:rFonts w:eastAsia="等线"/>
          <w:b/>
          <w:bCs/>
          <w:sz w:val="18"/>
          <w:szCs w:val="22"/>
          <w:lang w:eastAsia="zh-CN"/>
        </w:rPr>
        <w:t>SCell1: 10MHz,</w:t>
      </w:r>
      <w:r w:rsidR="00783FC0" w:rsidRPr="00783FC0">
        <w:rPr>
          <w:rFonts w:eastAsia="等线"/>
          <w:b/>
          <w:bCs/>
          <w:sz w:val="18"/>
          <w:szCs w:val="22"/>
          <w:lang w:eastAsia="zh-CN"/>
        </w:rPr>
        <w:t xml:space="preserve"> </w:t>
      </w:r>
      <w:r w:rsidR="00783FC0">
        <w:rPr>
          <w:rFonts w:eastAsia="等线"/>
          <w:b/>
          <w:bCs/>
          <w:sz w:val="18"/>
          <w:szCs w:val="22"/>
          <w:lang w:eastAsia="zh-CN"/>
        </w:rPr>
        <w:t>SCell2: 10MHz</w:t>
      </w:r>
      <w:r>
        <w:rPr>
          <w:rFonts w:eastAsia="等线"/>
          <w:b/>
          <w:bCs/>
          <w:sz w:val="18"/>
          <w:szCs w:val="22"/>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2067"/>
        <w:gridCol w:w="1786"/>
        <w:gridCol w:w="3645"/>
      </w:tblGrid>
      <w:tr w:rsidR="00BE2DDE" w:rsidTr="001A7B8C">
        <w:trPr>
          <w:jc w:val="center"/>
        </w:trPr>
        <w:tc>
          <w:tcPr>
            <w:tcW w:w="3018" w:type="dxa"/>
            <w:tcBorders>
              <w:top w:val="single" w:sz="4" w:space="0" w:color="auto"/>
              <w:left w:val="single" w:sz="4" w:space="0" w:color="auto"/>
              <w:bottom w:val="single" w:sz="4" w:space="0" w:color="auto"/>
              <w:right w:val="single" w:sz="4" w:space="0" w:color="auto"/>
            </w:tcBorders>
            <w:hideMark/>
          </w:tcPr>
          <w:p w:rsidR="00BE2DDE" w:rsidRDefault="00BE2DDE" w:rsidP="001A7B8C">
            <w:pPr>
              <w:snapToGrid w:val="0"/>
              <w:spacing w:before="40" w:after="40"/>
              <w:jc w:val="center"/>
              <w:rPr>
                <w:rFonts w:eastAsia="Times New Roman"/>
                <w:szCs w:val="24"/>
                <w:lang w:eastAsia="zh-CN"/>
              </w:rPr>
            </w:pPr>
            <w:r>
              <w:rPr>
                <w:lang w:eastAsia="zh-CN"/>
              </w:rPr>
              <w:t>Test metric</w:t>
            </w:r>
          </w:p>
        </w:tc>
        <w:tc>
          <w:tcPr>
            <w:tcW w:w="7665" w:type="dxa"/>
            <w:gridSpan w:val="3"/>
            <w:tcBorders>
              <w:top w:val="single" w:sz="4" w:space="0" w:color="auto"/>
              <w:left w:val="single" w:sz="4" w:space="0" w:color="auto"/>
              <w:bottom w:val="single" w:sz="4" w:space="0" w:color="auto"/>
              <w:right w:val="single" w:sz="4" w:space="0" w:color="auto"/>
            </w:tcBorders>
            <w:vAlign w:val="center"/>
            <w:hideMark/>
          </w:tcPr>
          <w:p w:rsidR="00BE2DDE" w:rsidRDefault="00BE2DDE" w:rsidP="001A7B8C">
            <w:pPr>
              <w:snapToGrid w:val="0"/>
              <w:spacing w:before="40" w:after="40"/>
              <w:jc w:val="center"/>
              <w:rPr>
                <w:lang w:eastAsia="zh-CN"/>
              </w:rPr>
            </w:pPr>
            <w:r>
              <w:rPr>
                <w:lang w:eastAsia="zh-CN"/>
              </w:rPr>
              <w:t>wideband CQI</w:t>
            </w:r>
            <w:r>
              <w:rPr>
                <w:vertAlign w:val="subscript"/>
                <w:lang w:eastAsia="zh-CN"/>
              </w:rPr>
              <w:t>Pcell</w:t>
            </w:r>
            <w:r>
              <w:rPr>
                <w:lang w:eastAsia="zh-CN"/>
              </w:rPr>
              <w:t xml:space="preserve"> – wideband CQI</w:t>
            </w:r>
            <w:r>
              <w:rPr>
                <w:vertAlign w:val="subscript"/>
                <w:lang w:eastAsia="zh-CN"/>
              </w:rPr>
              <w:t>Scell1</w:t>
            </w:r>
            <w:r>
              <w:rPr>
                <w:lang w:eastAsia="zh-CN"/>
              </w:rPr>
              <w:t xml:space="preserve"> ≥ y</w:t>
            </w:r>
          </w:p>
        </w:tc>
      </w:tr>
      <w:tr w:rsidR="001824E8" w:rsidTr="001A7B8C">
        <w:trPr>
          <w:jc w:val="center"/>
        </w:trPr>
        <w:tc>
          <w:tcPr>
            <w:tcW w:w="3018" w:type="dxa"/>
            <w:vMerge w:val="restart"/>
            <w:tcBorders>
              <w:top w:val="single" w:sz="4" w:space="0" w:color="auto"/>
              <w:left w:val="single" w:sz="4" w:space="0" w:color="auto"/>
              <w:right w:val="single" w:sz="4" w:space="0" w:color="auto"/>
            </w:tcBorders>
            <w:hideMark/>
          </w:tcPr>
          <w:p w:rsidR="001824E8" w:rsidRDefault="001824E8" w:rsidP="001A7B8C">
            <w:pPr>
              <w:snapToGrid w:val="0"/>
              <w:spacing w:before="40" w:after="40"/>
              <w:jc w:val="center"/>
              <w:rPr>
                <w:rFonts w:eastAsia="等线"/>
                <w:lang w:eastAsia="zh-CN"/>
              </w:rPr>
            </w:pPr>
          </w:p>
          <w:p w:rsidR="001824E8" w:rsidRDefault="001824E8" w:rsidP="001A7B8C">
            <w:pPr>
              <w:snapToGrid w:val="0"/>
              <w:spacing w:before="40" w:after="40"/>
              <w:jc w:val="center"/>
              <w:rPr>
                <w:rFonts w:eastAsia="等线" w:hint="eastAsia"/>
                <w:lang w:eastAsia="zh-CN"/>
              </w:rPr>
            </w:pPr>
            <w:r>
              <w:rPr>
                <w:rFonts w:eastAsia="等线"/>
                <w:lang w:eastAsia="zh-CN"/>
              </w:rPr>
              <w:t>Percentage</w:t>
            </w:r>
          </w:p>
        </w:tc>
        <w:tc>
          <w:tcPr>
            <w:tcW w:w="2110" w:type="dxa"/>
            <w:tcBorders>
              <w:top w:val="single" w:sz="4" w:space="0" w:color="auto"/>
              <w:left w:val="single" w:sz="4" w:space="0" w:color="auto"/>
              <w:bottom w:val="single" w:sz="4" w:space="0" w:color="auto"/>
              <w:right w:val="single" w:sz="4" w:space="0" w:color="auto"/>
            </w:tcBorders>
            <w:vAlign w:val="center"/>
            <w:hideMark/>
          </w:tcPr>
          <w:p w:rsidR="001824E8" w:rsidRDefault="001824E8" w:rsidP="001A7B8C">
            <w:pPr>
              <w:snapToGrid w:val="0"/>
              <w:spacing w:before="40" w:after="40"/>
              <w:jc w:val="center"/>
              <w:rPr>
                <w:rFonts w:eastAsia="等线"/>
                <w:lang w:eastAsia="zh-CN"/>
              </w:rPr>
            </w:pPr>
            <w:r>
              <w:rPr>
                <w:rFonts w:eastAsia="等线"/>
                <w:lang w:eastAsia="zh-CN"/>
              </w:rPr>
              <w:t>1</w:t>
            </w:r>
          </w:p>
        </w:tc>
        <w:tc>
          <w:tcPr>
            <w:tcW w:w="1819" w:type="dxa"/>
            <w:tcBorders>
              <w:top w:val="single" w:sz="4" w:space="0" w:color="auto"/>
              <w:left w:val="single" w:sz="4" w:space="0" w:color="auto"/>
              <w:bottom w:val="single" w:sz="4" w:space="0" w:color="auto"/>
              <w:right w:val="single" w:sz="4" w:space="0" w:color="auto"/>
            </w:tcBorders>
            <w:vAlign w:val="center"/>
            <w:hideMark/>
          </w:tcPr>
          <w:p w:rsidR="001824E8" w:rsidRDefault="001824E8" w:rsidP="001A7B8C">
            <w:pPr>
              <w:snapToGrid w:val="0"/>
              <w:spacing w:before="40" w:after="40"/>
              <w:jc w:val="center"/>
              <w:rPr>
                <w:rFonts w:eastAsia="等线"/>
                <w:lang w:eastAsia="zh-CN"/>
              </w:rPr>
            </w:pPr>
            <w:r>
              <w:rPr>
                <w:rFonts w:eastAsia="等线"/>
                <w:lang w:eastAsia="zh-CN"/>
              </w:rPr>
              <w:t>2</w:t>
            </w:r>
          </w:p>
        </w:tc>
        <w:tc>
          <w:tcPr>
            <w:tcW w:w="3736" w:type="dxa"/>
            <w:tcBorders>
              <w:top w:val="single" w:sz="4" w:space="0" w:color="auto"/>
              <w:left w:val="single" w:sz="4" w:space="0" w:color="auto"/>
              <w:bottom w:val="single" w:sz="4" w:space="0" w:color="auto"/>
              <w:right w:val="single" w:sz="4" w:space="0" w:color="auto"/>
            </w:tcBorders>
          </w:tcPr>
          <w:p w:rsidR="001824E8" w:rsidRDefault="001824E8" w:rsidP="001A7B8C">
            <w:pPr>
              <w:snapToGrid w:val="0"/>
              <w:spacing w:before="40" w:after="40"/>
              <w:jc w:val="center"/>
              <w:rPr>
                <w:rFonts w:eastAsia="等线"/>
                <w:lang w:eastAsia="zh-CN"/>
              </w:rPr>
            </w:pPr>
            <w:r>
              <w:rPr>
                <w:rFonts w:eastAsia="等线" w:hint="eastAsia"/>
                <w:lang w:eastAsia="zh-CN"/>
              </w:rPr>
              <w:t>3</w:t>
            </w:r>
          </w:p>
        </w:tc>
      </w:tr>
      <w:tr w:rsidR="001824E8" w:rsidTr="00BE2DDE">
        <w:trPr>
          <w:trHeight w:val="208"/>
          <w:jc w:val="center"/>
        </w:trPr>
        <w:tc>
          <w:tcPr>
            <w:tcW w:w="3018" w:type="dxa"/>
            <w:vMerge/>
            <w:tcBorders>
              <w:left w:val="single" w:sz="4" w:space="0" w:color="auto"/>
              <w:right w:val="single" w:sz="4" w:space="0" w:color="auto"/>
            </w:tcBorders>
            <w:vAlign w:val="center"/>
            <w:hideMark/>
          </w:tcPr>
          <w:p w:rsidR="001824E8" w:rsidRDefault="001824E8" w:rsidP="001A7B8C">
            <w:pPr>
              <w:rPr>
                <w:rFonts w:eastAsia="等线"/>
                <w:lang w:eastAsia="zh-CN"/>
              </w:rPr>
            </w:pPr>
          </w:p>
        </w:tc>
        <w:tc>
          <w:tcPr>
            <w:tcW w:w="2110" w:type="dxa"/>
            <w:tcBorders>
              <w:top w:val="single" w:sz="4" w:space="0" w:color="auto"/>
              <w:left w:val="single" w:sz="4" w:space="0" w:color="auto"/>
              <w:bottom w:val="single" w:sz="4" w:space="0" w:color="auto"/>
              <w:right w:val="single" w:sz="4" w:space="0" w:color="auto"/>
            </w:tcBorders>
            <w:vAlign w:val="center"/>
            <w:hideMark/>
          </w:tcPr>
          <w:p w:rsidR="001824E8" w:rsidRDefault="001824E8" w:rsidP="001A7B8C">
            <w:pPr>
              <w:snapToGrid w:val="0"/>
              <w:spacing w:before="40" w:after="40"/>
              <w:jc w:val="center"/>
              <w:rPr>
                <w:rFonts w:eastAsia="Times New Roman"/>
                <w:lang w:eastAsia="zh-CN"/>
              </w:rPr>
            </w:pPr>
            <w:r>
              <w:rPr>
                <w:lang w:eastAsia="zh-CN"/>
              </w:rPr>
              <w:t>100%</w:t>
            </w:r>
          </w:p>
        </w:tc>
        <w:tc>
          <w:tcPr>
            <w:tcW w:w="1819" w:type="dxa"/>
            <w:tcBorders>
              <w:top w:val="single" w:sz="4" w:space="0" w:color="auto"/>
              <w:left w:val="single" w:sz="4" w:space="0" w:color="auto"/>
              <w:bottom w:val="single" w:sz="4" w:space="0" w:color="auto"/>
              <w:right w:val="single" w:sz="4" w:space="0" w:color="auto"/>
            </w:tcBorders>
            <w:vAlign w:val="center"/>
            <w:hideMark/>
          </w:tcPr>
          <w:p w:rsidR="001824E8" w:rsidRDefault="001824E8" w:rsidP="00783FC0">
            <w:pPr>
              <w:snapToGrid w:val="0"/>
              <w:spacing w:before="40" w:after="40"/>
              <w:jc w:val="center"/>
              <w:rPr>
                <w:rFonts w:hint="eastAsia"/>
                <w:lang w:eastAsia="zh-CN"/>
              </w:rPr>
            </w:pPr>
            <w:r>
              <w:rPr>
                <w:lang w:eastAsia="zh-CN"/>
              </w:rPr>
              <w:t>97.7%</w:t>
            </w:r>
          </w:p>
        </w:tc>
        <w:tc>
          <w:tcPr>
            <w:tcW w:w="3736" w:type="dxa"/>
            <w:tcBorders>
              <w:top w:val="single" w:sz="4" w:space="0" w:color="auto"/>
              <w:left w:val="single" w:sz="4" w:space="0" w:color="auto"/>
              <w:bottom w:val="single" w:sz="4" w:space="0" w:color="auto"/>
              <w:right w:val="single" w:sz="4" w:space="0" w:color="auto"/>
            </w:tcBorders>
            <w:vAlign w:val="center"/>
          </w:tcPr>
          <w:p w:rsidR="001824E8" w:rsidRDefault="001824E8" w:rsidP="00783FC0">
            <w:pPr>
              <w:snapToGrid w:val="0"/>
              <w:spacing w:before="40" w:after="40"/>
              <w:jc w:val="center"/>
              <w:rPr>
                <w:lang w:eastAsia="zh-CN"/>
              </w:rPr>
            </w:pPr>
            <w:r>
              <w:rPr>
                <w:lang w:eastAsia="zh-CN"/>
              </w:rPr>
              <w:t>72.2</w:t>
            </w:r>
            <w:r>
              <w:rPr>
                <w:rFonts w:hint="eastAsia"/>
                <w:lang w:eastAsia="zh-CN"/>
              </w:rPr>
              <w:t>%</w:t>
            </w:r>
          </w:p>
        </w:tc>
      </w:tr>
      <w:tr w:rsidR="001824E8" w:rsidTr="001A7B8C">
        <w:trPr>
          <w:trHeight w:val="208"/>
          <w:jc w:val="center"/>
        </w:trPr>
        <w:tc>
          <w:tcPr>
            <w:tcW w:w="3018" w:type="dxa"/>
            <w:vMerge/>
            <w:tcBorders>
              <w:left w:val="single" w:sz="4" w:space="0" w:color="auto"/>
              <w:right w:val="single" w:sz="4" w:space="0" w:color="auto"/>
            </w:tcBorders>
            <w:vAlign w:val="center"/>
          </w:tcPr>
          <w:p w:rsidR="001824E8" w:rsidRDefault="001824E8" w:rsidP="001A7B8C">
            <w:pPr>
              <w:rPr>
                <w:rFonts w:eastAsia="等线"/>
                <w:lang w:eastAsia="zh-CN"/>
              </w:rPr>
            </w:pPr>
          </w:p>
        </w:tc>
        <w:tc>
          <w:tcPr>
            <w:tcW w:w="7665" w:type="dxa"/>
            <w:gridSpan w:val="3"/>
            <w:tcBorders>
              <w:top w:val="single" w:sz="4" w:space="0" w:color="auto"/>
              <w:left w:val="single" w:sz="4" w:space="0" w:color="auto"/>
              <w:bottom w:val="single" w:sz="4" w:space="0" w:color="auto"/>
              <w:right w:val="single" w:sz="4" w:space="0" w:color="auto"/>
            </w:tcBorders>
            <w:vAlign w:val="center"/>
          </w:tcPr>
          <w:p w:rsidR="001824E8" w:rsidRDefault="001824E8" w:rsidP="001A7B8C">
            <w:pPr>
              <w:snapToGrid w:val="0"/>
              <w:spacing w:before="40" w:after="40"/>
              <w:jc w:val="center"/>
              <w:rPr>
                <w:rFonts w:hint="eastAsia"/>
                <w:lang w:eastAsia="zh-CN"/>
              </w:rPr>
            </w:pPr>
            <w:r>
              <w:rPr>
                <w:lang w:eastAsia="zh-CN"/>
              </w:rPr>
              <w:t>wideband CQI</w:t>
            </w:r>
            <w:r>
              <w:rPr>
                <w:vertAlign w:val="subscript"/>
                <w:lang w:eastAsia="zh-CN"/>
              </w:rPr>
              <w:t>Scell1</w:t>
            </w:r>
            <w:r>
              <w:rPr>
                <w:lang w:eastAsia="zh-CN"/>
              </w:rPr>
              <w:t xml:space="preserve"> – wideband CQI</w:t>
            </w:r>
            <w:r>
              <w:rPr>
                <w:vertAlign w:val="subscript"/>
                <w:lang w:eastAsia="zh-CN"/>
              </w:rPr>
              <w:t>Scell2</w:t>
            </w:r>
            <w:r>
              <w:rPr>
                <w:lang w:eastAsia="zh-CN"/>
              </w:rPr>
              <w:t xml:space="preserve"> ≥ z</w:t>
            </w:r>
          </w:p>
        </w:tc>
      </w:tr>
      <w:tr w:rsidR="001824E8" w:rsidTr="00BE2DDE">
        <w:trPr>
          <w:trHeight w:val="208"/>
          <w:jc w:val="center"/>
        </w:trPr>
        <w:tc>
          <w:tcPr>
            <w:tcW w:w="3018" w:type="dxa"/>
            <w:vMerge/>
            <w:tcBorders>
              <w:left w:val="single" w:sz="4" w:space="0" w:color="auto"/>
              <w:right w:val="single" w:sz="4" w:space="0" w:color="auto"/>
            </w:tcBorders>
            <w:vAlign w:val="center"/>
          </w:tcPr>
          <w:p w:rsidR="001824E8" w:rsidRDefault="001824E8" w:rsidP="001A7B8C">
            <w:pPr>
              <w:rPr>
                <w:rFonts w:eastAsia="等线"/>
                <w:lang w:eastAsia="zh-CN"/>
              </w:rPr>
            </w:pPr>
          </w:p>
        </w:tc>
        <w:tc>
          <w:tcPr>
            <w:tcW w:w="2110" w:type="dxa"/>
            <w:tcBorders>
              <w:top w:val="single" w:sz="4" w:space="0" w:color="auto"/>
              <w:left w:val="single" w:sz="4" w:space="0" w:color="auto"/>
              <w:bottom w:val="single" w:sz="4" w:space="0" w:color="auto"/>
              <w:right w:val="single" w:sz="4" w:space="0" w:color="auto"/>
            </w:tcBorders>
            <w:vAlign w:val="center"/>
          </w:tcPr>
          <w:p w:rsidR="001824E8" w:rsidRDefault="001824E8" w:rsidP="001A7B8C">
            <w:pPr>
              <w:snapToGrid w:val="0"/>
              <w:spacing w:before="40" w:after="40"/>
              <w:jc w:val="center"/>
              <w:rPr>
                <w:lang w:eastAsia="zh-CN"/>
              </w:rPr>
            </w:pPr>
            <w:r>
              <w:rPr>
                <w:rFonts w:hint="eastAsia"/>
                <w:lang w:eastAsia="zh-CN"/>
              </w:rPr>
              <w:t>1</w:t>
            </w:r>
          </w:p>
        </w:tc>
        <w:tc>
          <w:tcPr>
            <w:tcW w:w="1819" w:type="dxa"/>
            <w:tcBorders>
              <w:top w:val="single" w:sz="4" w:space="0" w:color="auto"/>
              <w:left w:val="single" w:sz="4" w:space="0" w:color="auto"/>
              <w:bottom w:val="single" w:sz="4" w:space="0" w:color="auto"/>
              <w:right w:val="single" w:sz="4" w:space="0" w:color="auto"/>
            </w:tcBorders>
            <w:vAlign w:val="center"/>
          </w:tcPr>
          <w:p w:rsidR="001824E8" w:rsidRDefault="001824E8" w:rsidP="001A7B8C">
            <w:pPr>
              <w:snapToGrid w:val="0"/>
              <w:spacing w:before="40" w:after="40"/>
              <w:jc w:val="center"/>
              <w:rPr>
                <w:lang w:eastAsia="zh-CN"/>
              </w:rPr>
            </w:pPr>
            <w:r>
              <w:rPr>
                <w:rFonts w:hint="eastAsia"/>
                <w:lang w:eastAsia="zh-CN"/>
              </w:rPr>
              <w:t>2</w:t>
            </w:r>
          </w:p>
        </w:tc>
        <w:tc>
          <w:tcPr>
            <w:tcW w:w="3736" w:type="dxa"/>
            <w:tcBorders>
              <w:top w:val="single" w:sz="4" w:space="0" w:color="auto"/>
              <w:left w:val="single" w:sz="4" w:space="0" w:color="auto"/>
              <w:bottom w:val="single" w:sz="4" w:space="0" w:color="auto"/>
              <w:right w:val="single" w:sz="4" w:space="0" w:color="auto"/>
            </w:tcBorders>
            <w:vAlign w:val="center"/>
          </w:tcPr>
          <w:p w:rsidR="001824E8" w:rsidRDefault="001824E8" w:rsidP="001A7B8C">
            <w:pPr>
              <w:snapToGrid w:val="0"/>
              <w:spacing w:before="40" w:after="40"/>
              <w:jc w:val="center"/>
              <w:rPr>
                <w:lang w:eastAsia="zh-CN"/>
              </w:rPr>
            </w:pPr>
            <w:r>
              <w:rPr>
                <w:rFonts w:hint="eastAsia"/>
                <w:lang w:eastAsia="zh-CN"/>
              </w:rPr>
              <w:t>3</w:t>
            </w:r>
          </w:p>
        </w:tc>
      </w:tr>
      <w:tr w:rsidR="001824E8" w:rsidTr="001A7B8C">
        <w:trPr>
          <w:trHeight w:val="208"/>
          <w:jc w:val="center"/>
        </w:trPr>
        <w:tc>
          <w:tcPr>
            <w:tcW w:w="3018" w:type="dxa"/>
            <w:vMerge/>
            <w:tcBorders>
              <w:left w:val="single" w:sz="4" w:space="0" w:color="auto"/>
              <w:right w:val="single" w:sz="4" w:space="0" w:color="auto"/>
            </w:tcBorders>
            <w:vAlign w:val="center"/>
          </w:tcPr>
          <w:p w:rsidR="001824E8" w:rsidRDefault="001824E8" w:rsidP="001A7B8C">
            <w:pPr>
              <w:rPr>
                <w:rFonts w:eastAsia="等线"/>
                <w:lang w:eastAsia="zh-CN"/>
              </w:rPr>
            </w:pPr>
          </w:p>
        </w:tc>
        <w:tc>
          <w:tcPr>
            <w:tcW w:w="2110" w:type="dxa"/>
            <w:tcBorders>
              <w:top w:val="single" w:sz="4" w:space="0" w:color="auto"/>
              <w:left w:val="single" w:sz="4" w:space="0" w:color="auto"/>
              <w:right w:val="single" w:sz="4" w:space="0" w:color="auto"/>
            </w:tcBorders>
            <w:vAlign w:val="center"/>
          </w:tcPr>
          <w:p w:rsidR="001824E8" w:rsidRDefault="001824E8" w:rsidP="001A7B8C">
            <w:pPr>
              <w:snapToGrid w:val="0"/>
              <w:spacing w:before="40" w:after="40"/>
              <w:jc w:val="center"/>
              <w:rPr>
                <w:rFonts w:hint="eastAsia"/>
                <w:lang w:eastAsia="zh-CN"/>
              </w:rPr>
            </w:pPr>
            <w:r>
              <w:rPr>
                <w:rFonts w:hint="eastAsia"/>
                <w:lang w:eastAsia="zh-CN"/>
              </w:rPr>
              <w:t>1</w:t>
            </w:r>
            <w:r>
              <w:rPr>
                <w:lang w:eastAsia="zh-CN"/>
              </w:rPr>
              <w:t>00%</w:t>
            </w:r>
          </w:p>
        </w:tc>
        <w:tc>
          <w:tcPr>
            <w:tcW w:w="1819" w:type="dxa"/>
            <w:tcBorders>
              <w:top w:val="single" w:sz="4" w:space="0" w:color="auto"/>
              <w:left w:val="single" w:sz="4" w:space="0" w:color="auto"/>
              <w:right w:val="single" w:sz="4" w:space="0" w:color="auto"/>
            </w:tcBorders>
            <w:vAlign w:val="center"/>
          </w:tcPr>
          <w:p w:rsidR="001824E8" w:rsidRDefault="001824E8" w:rsidP="00783FC0">
            <w:pPr>
              <w:snapToGrid w:val="0"/>
              <w:spacing w:before="40" w:after="40"/>
              <w:jc w:val="center"/>
              <w:rPr>
                <w:rFonts w:hint="eastAsia"/>
                <w:lang w:eastAsia="zh-CN"/>
              </w:rPr>
            </w:pPr>
            <w:r>
              <w:rPr>
                <w:rFonts w:hint="eastAsia"/>
                <w:lang w:eastAsia="zh-CN"/>
              </w:rPr>
              <w:t>9</w:t>
            </w:r>
            <w:r>
              <w:rPr>
                <w:lang w:eastAsia="zh-CN"/>
              </w:rPr>
              <w:t>6.3%</w:t>
            </w:r>
          </w:p>
        </w:tc>
        <w:tc>
          <w:tcPr>
            <w:tcW w:w="3736" w:type="dxa"/>
            <w:tcBorders>
              <w:top w:val="single" w:sz="4" w:space="0" w:color="auto"/>
              <w:left w:val="single" w:sz="4" w:space="0" w:color="auto"/>
              <w:right w:val="single" w:sz="4" w:space="0" w:color="auto"/>
            </w:tcBorders>
            <w:vAlign w:val="center"/>
          </w:tcPr>
          <w:p w:rsidR="001824E8" w:rsidRDefault="001824E8" w:rsidP="00783FC0">
            <w:pPr>
              <w:snapToGrid w:val="0"/>
              <w:spacing w:before="40" w:after="40"/>
              <w:jc w:val="center"/>
              <w:rPr>
                <w:rFonts w:hint="eastAsia"/>
                <w:lang w:eastAsia="zh-CN"/>
              </w:rPr>
            </w:pPr>
            <w:r>
              <w:rPr>
                <w:rFonts w:hint="eastAsia"/>
                <w:lang w:eastAsia="zh-CN"/>
              </w:rPr>
              <w:t>6</w:t>
            </w:r>
            <w:r>
              <w:rPr>
                <w:lang w:eastAsia="zh-CN"/>
              </w:rPr>
              <w:t>0.4%</w:t>
            </w:r>
          </w:p>
        </w:tc>
      </w:tr>
    </w:tbl>
    <w:p w:rsidR="001824E8" w:rsidRPr="001824E8" w:rsidRDefault="001824E8" w:rsidP="001824E8">
      <w:pPr>
        <w:pStyle w:val="afb"/>
        <w:snapToGrid w:val="0"/>
        <w:spacing w:beforeLines="50" w:before="120"/>
        <w:rPr>
          <w:lang w:eastAsia="zh-CN"/>
        </w:rPr>
      </w:pPr>
      <w:r w:rsidRPr="001824E8">
        <w:rPr>
          <w:rFonts w:hint="eastAsia"/>
          <w:lang w:eastAsia="zh-CN"/>
        </w:rPr>
        <w:t>F</w:t>
      </w:r>
      <w:r w:rsidRPr="001824E8">
        <w:rPr>
          <w:lang w:eastAsia="zh-CN"/>
        </w:rPr>
        <w:t>rom our simulation results, we can observe that:</w:t>
      </w:r>
    </w:p>
    <w:p w:rsidR="001824E8" w:rsidRDefault="001824E8" w:rsidP="001824E8">
      <w:pPr>
        <w:pStyle w:val="afb"/>
        <w:snapToGrid w:val="0"/>
        <w:spacing w:beforeLines="50" w:before="120"/>
        <w:rPr>
          <w:rFonts w:eastAsia="等线"/>
          <w:b/>
          <w:bCs/>
          <w:szCs w:val="22"/>
          <w:lang w:eastAsia="zh-CN"/>
        </w:rPr>
      </w:pPr>
      <w:r w:rsidRPr="001824E8">
        <w:rPr>
          <w:rFonts w:eastAsia="等线"/>
          <w:b/>
          <w:bCs/>
          <w:szCs w:val="22"/>
          <w:lang w:eastAsia="zh-CN"/>
        </w:rPr>
        <w:t>Observation 1:  For 2 DL CA and SNR</w:t>
      </w:r>
      <w:r w:rsidRPr="001824E8">
        <w:rPr>
          <w:rFonts w:eastAsia="等线"/>
          <w:b/>
          <w:bCs/>
          <w:szCs w:val="22"/>
          <w:vertAlign w:val="subscript"/>
          <w:lang w:eastAsia="zh-CN"/>
        </w:rPr>
        <w:t>Pcell</w:t>
      </w:r>
      <w:r w:rsidRPr="001824E8">
        <w:rPr>
          <w:rFonts w:eastAsia="等线"/>
          <w:b/>
          <w:bCs/>
          <w:szCs w:val="22"/>
          <w:lang w:eastAsia="zh-CN"/>
        </w:rPr>
        <w:t xml:space="preserve"> = 10dB, SNR</w:t>
      </w:r>
      <w:r w:rsidRPr="001824E8">
        <w:rPr>
          <w:rFonts w:eastAsia="等线"/>
          <w:b/>
          <w:bCs/>
          <w:szCs w:val="22"/>
          <w:vertAlign w:val="subscript"/>
          <w:lang w:eastAsia="zh-CN"/>
        </w:rPr>
        <w:t>Scell</w:t>
      </w:r>
      <w:r w:rsidRPr="001824E8">
        <w:rPr>
          <w:rFonts w:eastAsia="等线"/>
          <w:b/>
          <w:bCs/>
          <w:szCs w:val="22"/>
          <w:lang w:eastAsia="zh-CN"/>
        </w:rPr>
        <w:t xml:space="preserve"> = 4dB</w:t>
      </w:r>
      <w:r>
        <w:rPr>
          <w:rFonts w:eastAsia="等线"/>
          <w:b/>
          <w:bCs/>
          <w:szCs w:val="22"/>
          <w:lang w:eastAsia="zh-CN"/>
        </w:rPr>
        <w:t xml:space="preserve">, </w:t>
      </w:r>
      <w:r w:rsidRPr="001824E8">
        <w:rPr>
          <w:rFonts w:eastAsia="等线"/>
          <w:b/>
          <w:bCs/>
          <w:szCs w:val="22"/>
          <w:lang w:eastAsia="zh-CN"/>
        </w:rPr>
        <w:t xml:space="preserve">the difference between the wideband CQI indices of the first </w:t>
      </w:r>
      <w:r>
        <w:rPr>
          <w:rFonts w:eastAsia="等线"/>
          <w:b/>
          <w:bCs/>
          <w:szCs w:val="22"/>
          <w:lang w:eastAsia="zh-CN"/>
        </w:rPr>
        <w:t>P</w:t>
      </w:r>
      <w:r w:rsidRPr="001824E8">
        <w:rPr>
          <w:rFonts w:eastAsia="等线"/>
          <w:b/>
          <w:bCs/>
          <w:szCs w:val="22"/>
          <w:lang w:eastAsia="zh-CN"/>
        </w:rPr>
        <w:t>cell and the Scell</w:t>
      </w:r>
      <w:r>
        <w:rPr>
          <w:rFonts w:eastAsia="等线"/>
          <w:b/>
          <w:bCs/>
          <w:szCs w:val="22"/>
          <w:lang w:eastAsia="zh-CN"/>
        </w:rPr>
        <w:t xml:space="preserve"> IS lager than 2 for 98.4% of the time and lager than 3 for 75.8% of the time </w:t>
      </w:r>
    </w:p>
    <w:p w:rsidR="001824E8" w:rsidRPr="001824E8" w:rsidRDefault="001824E8" w:rsidP="001824E8">
      <w:pPr>
        <w:pStyle w:val="afb"/>
        <w:snapToGrid w:val="0"/>
        <w:spacing w:beforeLines="50" w:before="120"/>
        <w:rPr>
          <w:rFonts w:eastAsia="等线" w:hint="eastAsia"/>
          <w:b/>
          <w:bCs/>
          <w:szCs w:val="22"/>
          <w:lang w:eastAsia="zh-CN"/>
        </w:rPr>
      </w:pPr>
      <w:r w:rsidRPr="001824E8">
        <w:rPr>
          <w:rFonts w:eastAsia="等线"/>
          <w:b/>
          <w:bCs/>
          <w:szCs w:val="22"/>
          <w:lang w:eastAsia="zh-CN"/>
        </w:rPr>
        <w:t xml:space="preserve">Observation </w:t>
      </w:r>
      <w:r>
        <w:rPr>
          <w:rFonts w:eastAsia="等线"/>
          <w:b/>
          <w:bCs/>
          <w:szCs w:val="22"/>
          <w:lang w:eastAsia="zh-CN"/>
        </w:rPr>
        <w:t>2</w:t>
      </w:r>
      <w:r w:rsidRPr="001824E8">
        <w:rPr>
          <w:rFonts w:eastAsia="等线"/>
          <w:b/>
          <w:bCs/>
          <w:szCs w:val="22"/>
          <w:lang w:eastAsia="zh-CN"/>
        </w:rPr>
        <w:t xml:space="preserve">:  For </w:t>
      </w:r>
      <w:r>
        <w:rPr>
          <w:rFonts w:eastAsia="等线"/>
          <w:b/>
          <w:bCs/>
          <w:szCs w:val="22"/>
          <w:lang w:eastAsia="zh-CN"/>
        </w:rPr>
        <w:t>3</w:t>
      </w:r>
      <w:r w:rsidRPr="001824E8">
        <w:rPr>
          <w:rFonts w:eastAsia="等线"/>
          <w:b/>
          <w:bCs/>
          <w:szCs w:val="22"/>
          <w:lang w:eastAsia="zh-CN"/>
        </w:rPr>
        <w:t xml:space="preserve"> DL CA and SNR</w:t>
      </w:r>
      <w:r w:rsidRPr="001824E8">
        <w:rPr>
          <w:rFonts w:eastAsia="等线"/>
          <w:b/>
          <w:bCs/>
          <w:szCs w:val="22"/>
          <w:vertAlign w:val="subscript"/>
          <w:lang w:eastAsia="zh-CN"/>
        </w:rPr>
        <w:t xml:space="preserve">Pcell </w:t>
      </w:r>
      <w:r w:rsidRPr="001824E8">
        <w:rPr>
          <w:rFonts w:eastAsia="等线"/>
          <w:b/>
          <w:bCs/>
          <w:szCs w:val="22"/>
          <w:lang w:eastAsia="zh-CN"/>
        </w:rPr>
        <w:t>= 12dB, SNR</w:t>
      </w:r>
      <w:r w:rsidRPr="001824E8">
        <w:rPr>
          <w:rFonts w:eastAsia="等线"/>
          <w:b/>
          <w:bCs/>
          <w:szCs w:val="22"/>
          <w:vertAlign w:val="subscript"/>
          <w:lang w:eastAsia="zh-CN"/>
        </w:rPr>
        <w:t xml:space="preserve">Scell1 </w:t>
      </w:r>
      <w:r w:rsidRPr="001824E8">
        <w:rPr>
          <w:rFonts w:eastAsia="等线"/>
          <w:b/>
          <w:bCs/>
          <w:szCs w:val="22"/>
          <w:lang w:eastAsia="zh-CN"/>
        </w:rPr>
        <w:t>= 6dB, SNR</w:t>
      </w:r>
      <w:r w:rsidRPr="001824E8">
        <w:rPr>
          <w:rFonts w:eastAsia="等线"/>
          <w:b/>
          <w:bCs/>
          <w:szCs w:val="22"/>
          <w:vertAlign w:val="subscript"/>
          <w:lang w:eastAsia="zh-CN"/>
        </w:rPr>
        <w:t>Scell2</w:t>
      </w:r>
      <w:r w:rsidRPr="001824E8">
        <w:rPr>
          <w:rFonts w:eastAsia="等线"/>
          <w:b/>
          <w:bCs/>
          <w:szCs w:val="22"/>
          <w:lang w:eastAsia="zh-CN"/>
        </w:rPr>
        <w:t xml:space="preserve"> = 0dB</w:t>
      </w:r>
      <w:r>
        <w:rPr>
          <w:rFonts w:eastAsia="等线"/>
          <w:b/>
          <w:bCs/>
          <w:szCs w:val="22"/>
          <w:lang w:eastAsia="zh-CN"/>
        </w:rPr>
        <w:t xml:space="preserve">, </w:t>
      </w:r>
      <w:r w:rsidRPr="001824E8">
        <w:rPr>
          <w:rFonts w:eastAsia="等线"/>
          <w:b/>
          <w:bCs/>
          <w:szCs w:val="22"/>
          <w:lang w:eastAsia="zh-CN"/>
        </w:rPr>
        <w:t xml:space="preserve">the difference between the wideband CQI indices of the first </w:t>
      </w:r>
      <w:r>
        <w:rPr>
          <w:rFonts w:eastAsia="等线"/>
          <w:b/>
          <w:bCs/>
          <w:szCs w:val="22"/>
          <w:lang w:eastAsia="zh-CN"/>
        </w:rPr>
        <w:t>P</w:t>
      </w:r>
      <w:r w:rsidRPr="001824E8">
        <w:rPr>
          <w:rFonts w:eastAsia="等线"/>
          <w:b/>
          <w:bCs/>
          <w:szCs w:val="22"/>
          <w:lang w:eastAsia="zh-CN"/>
        </w:rPr>
        <w:t>cell and the Scell</w:t>
      </w:r>
      <w:r>
        <w:rPr>
          <w:rFonts w:eastAsia="等线"/>
          <w:b/>
          <w:bCs/>
          <w:szCs w:val="22"/>
          <w:lang w:eastAsia="zh-CN"/>
        </w:rPr>
        <w:t>1 is lager than 2 for 97.7% of the time and lager than 3 for 72.2% of the time. T</w:t>
      </w:r>
      <w:r w:rsidRPr="001824E8">
        <w:rPr>
          <w:rFonts w:eastAsia="等线"/>
          <w:b/>
          <w:bCs/>
          <w:szCs w:val="22"/>
          <w:lang w:eastAsia="zh-CN"/>
        </w:rPr>
        <w:t xml:space="preserve">he difference between the wideband CQI indices of the first </w:t>
      </w:r>
      <w:r>
        <w:rPr>
          <w:rFonts w:eastAsia="等线"/>
          <w:b/>
          <w:bCs/>
          <w:szCs w:val="22"/>
          <w:lang w:eastAsia="zh-CN"/>
        </w:rPr>
        <w:t>S</w:t>
      </w:r>
      <w:r w:rsidRPr="001824E8">
        <w:rPr>
          <w:rFonts w:eastAsia="等线"/>
          <w:b/>
          <w:bCs/>
          <w:szCs w:val="22"/>
          <w:lang w:eastAsia="zh-CN"/>
        </w:rPr>
        <w:t>cell</w:t>
      </w:r>
      <w:r>
        <w:rPr>
          <w:rFonts w:eastAsia="等线"/>
          <w:b/>
          <w:bCs/>
          <w:szCs w:val="22"/>
          <w:lang w:eastAsia="zh-CN"/>
        </w:rPr>
        <w:t>1</w:t>
      </w:r>
      <w:r w:rsidRPr="001824E8">
        <w:rPr>
          <w:rFonts w:eastAsia="等线"/>
          <w:b/>
          <w:bCs/>
          <w:szCs w:val="22"/>
          <w:lang w:eastAsia="zh-CN"/>
        </w:rPr>
        <w:t xml:space="preserve"> and the Scell</w:t>
      </w:r>
      <w:r>
        <w:rPr>
          <w:rFonts w:eastAsia="等线"/>
          <w:b/>
          <w:bCs/>
          <w:szCs w:val="22"/>
          <w:lang w:eastAsia="zh-CN"/>
        </w:rPr>
        <w:t xml:space="preserve">2 is lager than 2 for </w:t>
      </w:r>
      <w:r w:rsidR="001D5318">
        <w:rPr>
          <w:rFonts w:eastAsia="等线"/>
          <w:b/>
          <w:bCs/>
          <w:szCs w:val="22"/>
          <w:lang w:eastAsia="zh-CN"/>
        </w:rPr>
        <w:t>96.3</w:t>
      </w:r>
      <w:r>
        <w:rPr>
          <w:rFonts w:eastAsia="等线"/>
          <w:b/>
          <w:bCs/>
          <w:szCs w:val="22"/>
          <w:lang w:eastAsia="zh-CN"/>
        </w:rPr>
        <w:t xml:space="preserve">% of the time and lager than 3 for </w:t>
      </w:r>
      <w:r w:rsidR="001D5318">
        <w:rPr>
          <w:rFonts w:eastAsia="等线"/>
          <w:b/>
          <w:bCs/>
          <w:szCs w:val="22"/>
          <w:lang w:eastAsia="zh-CN"/>
        </w:rPr>
        <w:t>60.4</w:t>
      </w:r>
      <w:r>
        <w:rPr>
          <w:rFonts w:eastAsia="等线"/>
          <w:b/>
          <w:bCs/>
          <w:szCs w:val="22"/>
          <w:lang w:eastAsia="zh-CN"/>
        </w:rPr>
        <w:t>% of the time.</w:t>
      </w:r>
    </w:p>
    <w:p w:rsidR="001D5318" w:rsidRDefault="001D5318" w:rsidP="001D5318">
      <w:pPr>
        <w:tabs>
          <w:tab w:val="left" w:pos="1985"/>
        </w:tabs>
        <w:spacing w:after="0"/>
        <w:rPr>
          <w:lang w:eastAsia="zh-CN"/>
        </w:rPr>
      </w:pPr>
      <w:r w:rsidRPr="001D5318">
        <w:rPr>
          <w:rFonts w:hint="eastAsia"/>
          <w:lang w:eastAsia="zh-CN"/>
        </w:rPr>
        <w:t>F</w:t>
      </w:r>
      <w:r w:rsidRPr="001D5318">
        <w:rPr>
          <w:lang w:eastAsia="zh-CN"/>
        </w:rPr>
        <w:t xml:space="preserve">rom the observation, we can reuse the </w:t>
      </w:r>
      <w:r w:rsidR="006A27A7">
        <w:rPr>
          <w:lang w:eastAsia="zh-CN"/>
        </w:rPr>
        <w:t>g</w:t>
      </w:r>
      <w:r w:rsidRPr="001D5318">
        <w:rPr>
          <w:lang w:eastAsia="zh-CN"/>
        </w:rPr>
        <w:t xml:space="preserve">eneral principle, SNR configuration and </w:t>
      </w:r>
      <w:r w:rsidR="006A27A7">
        <w:rPr>
          <w:lang w:eastAsia="zh-CN"/>
        </w:rPr>
        <w:t>d</w:t>
      </w:r>
      <w:r w:rsidRPr="001D5318">
        <w:rPr>
          <w:lang w:eastAsia="zh-CN"/>
        </w:rPr>
        <w:t>elta CQI threshold from LTE</w:t>
      </w:r>
      <w:r>
        <w:rPr>
          <w:rFonts w:hint="eastAsia"/>
          <w:lang w:eastAsia="zh-CN"/>
        </w:rPr>
        <w:t>.</w:t>
      </w:r>
    </w:p>
    <w:p w:rsidR="001D5318" w:rsidRPr="00E15696" w:rsidRDefault="006A27A7" w:rsidP="001D5318">
      <w:pPr>
        <w:tabs>
          <w:tab w:val="left" w:pos="1985"/>
        </w:tabs>
        <w:spacing w:after="0"/>
        <w:rPr>
          <w:b/>
          <w:i/>
          <w:lang w:val="en-US" w:eastAsia="zh-CN"/>
        </w:rPr>
      </w:pPr>
      <w:r>
        <w:rPr>
          <w:b/>
          <w:i/>
          <w:lang w:eastAsia="zh-CN"/>
        </w:rPr>
        <w:t>Proposal 4</w:t>
      </w:r>
      <w:r w:rsidR="001D5318" w:rsidRPr="00E15696">
        <w:rPr>
          <w:b/>
          <w:i/>
          <w:lang w:eastAsia="zh-CN"/>
        </w:rPr>
        <w:t>:</w:t>
      </w:r>
      <w:r w:rsidR="001D5318" w:rsidRPr="00E15696">
        <w:rPr>
          <w:b/>
          <w:i/>
          <w:lang w:val="en-US" w:eastAsia="zh-CN"/>
        </w:rPr>
        <w:t xml:space="preserve"> General principle</w:t>
      </w:r>
    </w:p>
    <w:p w:rsidR="001D5318" w:rsidRPr="00E15696" w:rsidRDefault="001D5318" w:rsidP="001A7B8C">
      <w:pPr>
        <w:numPr>
          <w:ilvl w:val="1"/>
          <w:numId w:val="15"/>
        </w:numPr>
        <w:tabs>
          <w:tab w:val="left" w:pos="1985"/>
        </w:tabs>
        <w:spacing w:after="0"/>
        <w:rPr>
          <w:b/>
          <w:i/>
          <w:lang w:val="en-US" w:eastAsia="zh-CN"/>
        </w:rPr>
      </w:pPr>
      <w:r w:rsidRPr="00E15696">
        <w:rPr>
          <w:b/>
          <w:i/>
          <w:lang w:val="en-US" w:eastAsia="zh-CN"/>
        </w:rPr>
        <w:t>Following the methodology used in LTE, the difference between the wideband CQI indices of Pcell and the first Scell as well as the difference between the wideband CQI indices of the first Scell and the other Scell(s) (if any) shall be not smaller than a threshold, for more than 90% of the time</w:t>
      </w:r>
    </w:p>
    <w:p w:rsidR="001D5318" w:rsidRPr="00E15696" w:rsidRDefault="001D5318" w:rsidP="001D5318">
      <w:pPr>
        <w:tabs>
          <w:tab w:val="left" w:pos="1985"/>
        </w:tabs>
        <w:spacing w:after="0"/>
        <w:ind w:left="720"/>
        <w:rPr>
          <w:b/>
          <w:i/>
          <w:lang w:val="en-US" w:eastAsia="zh-CN"/>
        </w:rPr>
      </w:pPr>
      <w:r w:rsidRPr="00E15696">
        <w:rPr>
          <w:b/>
          <w:i/>
          <w:lang w:val="en-US" w:eastAsia="zh-CN"/>
        </w:rPr>
        <w:t>SNR configuration for 2DL CA CQI test</w:t>
      </w:r>
    </w:p>
    <w:p w:rsidR="001D5318" w:rsidRPr="00E15696" w:rsidRDefault="001D5318" w:rsidP="001A7B8C">
      <w:pPr>
        <w:numPr>
          <w:ilvl w:val="1"/>
          <w:numId w:val="15"/>
        </w:numPr>
        <w:tabs>
          <w:tab w:val="left" w:pos="1985"/>
        </w:tabs>
        <w:spacing w:after="0"/>
        <w:rPr>
          <w:b/>
          <w:i/>
          <w:lang w:val="en-US" w:eastAsia="zh-CN"/>
        </w:rPr>
      </w:pPr>
      <w:r w:rsidRPr="00E15696">
        <w:rPr>
          <w:b/>
          <w:i/>
          <w:lang w:val="en-US" w:eastAsia="zh-CN"/>
        </w:rPr>
        <w:t>SNR</w:t>
      </w:r>
      <w:r w:rsidRPr="00E15696">
        <w:rPr>
          <w:b/>
          <w:i/>
          <w:vertAlign w:val="subscript"/>
          <w:lang w:val="en-US" w:eastAsia="zh-CN"/>
        </w:rPr>
        <w:t>Pcell</w:t>
      </w:r>
      <w:r w:rsidRPr="00E15696">
        <w:rPr>
          <w:b/>
          <w:i/>
          <w:lang w:val="en-US" w:eastAsia="zh-CN"/>
        </w:rPr>
        <w:t xml:space="preserve"> = 10dB and SNR</w:t>
      </w:r>
      <w:r w:rsidRPr="00E15696">
        <w:rPr>
          <w:b/>
          <w:i/>
          <w:vertAlign w:val="subscript"/>
          <w:lang w:val="en-US" w:eastAsia="zh-CN"/>
        </w:rPr>
        <w:t>Scell</w:t>
      </w:r>
      <w:r w:rsidRPr="00E15696">
        <w:rPr>
          <w:b/>
          <w:i/>
          <w:lang w:val="en-US" w:eastAsia="zh-CN"/>
        </w:rPr>
        <w:t xml:space="preserve"> = 4dB  </w:t>
      </w:r>
    </w:p>
    <w:p w:rsidR="001D5318" w:rsidRPr="00E15696" w:rsidRDefault="001D5318" w:rsidP="001D5318">
      <w:pPr>
        <w:tabs>
          <w:tab w:val="left" w:pos="1985"/>
        </w:tabs>
        <w:spacing w:after="0"/>
        <w:ind w:left="720"/>
        <w:rPr>
          <w:b/>
          <w:i/>
          <w:lang w:val="en-US" w:eastAsia="zh-CN"/>
        </w:rPr>
      </w:pPr>
      <w:r w:rsidRPr="00E15696">
        <w:rPr>
          <w:b/>
          <w:i/>
          <w:lang w:val="en-US" w:eastAsia="zh-CN"/>
        </w:rPr>
        <w:t>SNR configuration for 3 or more DL CA CQI test</w:t>
      </w:r>
    </w:p>
    <w:p w:rsidR="001D5318" w:rsidRPr="00E15696" w:rsidRDefault="001D5318" w:rsidP="001A7B8C">
      <w:pPr>
        <w:numPr>
          <w:ilvl w:val="1"/>
          <w:numId w:val="15"/>
        </w:numPr>
        <w:tabs>
          <w:tab w:val="left" w:pos="1985"/>
        </w:tabs>
        <w:spacing w:after="0"/>
        <w:rPr>
          <w:b/>
          <w:i/>
          <w:lang w:val="en-US" w:eastAsia="zh-CN"/>
        </w:rPr>
      </w:pPr>
      <w:r w:rsidRPr="00E15696">
        <w:rPr>
          <w:b/>
          <w:i/>
          <w:lang w:val="en-US" w:eastAsia="zh-CN"/>
        </w:rPr>
        <w:t>Option 1: SNR</w:t>
      </w:r>
      <w:r w:rsidRPr="00E15696">
        <w:rPr>
          <w:b/>
          <w:i/>
          <w:vertAlign w:val="subscript"/>
          <w:lang w:val="en-US" w:eastAsia="zh-CN"/>
        </w:rPr>
        <w:t>Pcell</w:t>
      </w:r>
      <w:r w:rsidRPr="00E15696">
        <w:rPr>
          <w:b/>
          <w:i/>
          <w:lang w:val="en-US" w:eastAsia="zh-CN"/>
        </w:rPr>
        <w:t xml:space="preserve"> = 12dB, SNR</w:t>
      </w:r>
      <w:r w:rsidRPr="00E15696">
        <w:rPr>
          <w:b/>
          <w:i/>
          <w:vertAlign w:val="subscript"/>
          <w:lang w:val="en-US" w:eastAsia="zh-CN"/>
        </w:rPr>
        <w:t>Scell1</w:t>
      </w:r>
      <w:r w:rsidRPr="00E15696">
        <w:rPr>
          <w:b/>
          <w:i/>
          <w:lang w:val="en-US" w:eastAsia="zh-CN"/>
        </w:rPr>
        <w:t xml:space="preserve"> = 6dB, SNR</w:t>
      </w:r>
      <w:r w:rsidRPr="00E15696">
        <w:rPr>
          <w:b/>
          <w:i/>
          <w:vertAlign w:val="subscript"/>
          <w:lang w:val="en-US" w:eastAsia="zh-CN"/>
        </w:rPr>
        <w:t xml:space="preserve">Scell2, 3,… </w:t>
      </w:r>
      <w:r w:rsidRPr="00E15696">
        <w:rPr>
          <w:b/>
          <w:i/>
          <w:lang w:val="en-US" w:eastAsia="zh-CN"/>
        </w:rPr>
        <w:t>= 0dB</w:t>
      </w:r>
    </w:p>
    <w:p w:rsidR="001D5318" w:rsidRPr="00E15696" w:rsidRDefault="001D5318" w:rsidP="001D5318">
      <w:pPr>
        <w:tabs>
          <w:tab w:val="left" w:pos="1985"/>
          <w:tab w:val="num" w:pos="2160"/>
        </w:tabs>
        <w:spacing w:after="0"/>
        <w:ind w:left="720"/>
        <w:rPr>
          <w:b/>
          <w:i/>
          <w:lang w:val="en-US" w:eastAsia="zh-CN"/>
        </w:rPr>
      </w:pPr>
      <w:r w:rsidRPr="00E15696">
        <w:rPr>
          <w:b/>
          <w:i/>
          <w:lang w:val="en-US" w:eastAsia="zh-CN"/>
        </w:rPr>
        <w:t>Delta CQI threshold for CA CQI test</w:t>
      </w:r>
    </w:p>
    <w:p w:rsidR="001824E8" w:rsidRPr="00E15696" w:rsidRDefault="001D5318" w:rsidP="001A7B8C">
      <w:pPr>
        <w:numPr>
          <w:ilvl w:val="1"/>
          <w:numId w:val="15"/>
        </w:numPr>
        <w:tabs>
          <w:tab w:val="left" w:pos="1985"/>
        </w:tabs>
        <w:spacing w:after="0"/>
        <w:rPr>
          <w:rFonts w:hint="eastAsia"/>
          <w:b/>
          <w:i/>
          <w:lang w:val="en-US" w:eastAsia="zh-CN"/>
        </w:rPr>
      </w:pPr>
      <w:r w:rsidRPr="00E15696">
        <w:rPr>
          <w:b/>
          <w:i/>
          <w:iCs/>
          <w:lang w:val="en-US" w:eastAsia="zh-CN"/>
        </w:rPr>
        <w:t>thr</w:t>
      </w:r>
      <w:r w:rsidRPr="00E15696">
        <w:rPr>
          <w:b/>
          <w:i/>
          <w:lang w:val="en-US" w:eastAsia="zh-CN"/>
        </w:rPr>
        <w:t xml:space="preserve"> = 2 </w:t>
      </w:r>
    </w:p>
    <w:bookmarkEnd w:id="0"/>
    <w:bookmarkEnd w:id="2"/>
    <w:bookmarkEnd w:id="3"/>
    <w:bookmarkEnd w:id="4"/>
    <w:p w:rsidR="00182530" w:rsidRPr="005C1573" w:rsidRDefault="00182530" w:rsidP="005C1573">
      <w:pPr>
        <w:pStyle w:val="1"/>
        <w:rPr>
          <w:rFonts w:eastAsia="宋体"/>
          <w:lang w:eastAsia="zh-CN"/>
        </w:rPr>
      </w:pPr>
      <w:r w:rsidRPr="005C1573">
        <w:rPr>
          <w:rFonts w:eastAsia="宋体"/>
          <w:lang w:eastAsia="zh-CN"/>
        </w:rPr>
        <w:t>Conclusion</w:t>
      </w:r>
    </w:p>
    <w:p w:rsidR="00714F78" w:rsidRDefault="00714F78" w:rsidP="00714F78">
      <w:pPr>
        <w:tabs>
          <w:tab w:val="left" w:pos="1985"/>
        </w:tabs>
        <w:spacing w:after="0"/>
        <w:ind w:left="1979" w:hanging="1979"/>
        <w:rPr>
          <w:lang w:val="en-US" w:eastAsia="zh-CN"/>
        </w:rPr>
      </w:pPr>
      <w:r>
        <w:rPr>
          <w:lang w:val="en-US"/>
        </w:rPr>
        <w:t xml:space="preserve">In this paper, we will give our discussion on remaining details about </w:t>
      </w:r>
      <w:r w:rsidRPr="00FB4711">
        <w:rPr>
          <w:lang w:val="en-US" w:eastAsia="zh-CN"/>
        </w:rPr>
        <w:t>NR CA CQI reporting requirements</w:t>
      </w:r>
      <w:r>
        <w:rPr>
          <w:lang w:val="en-US" w:eastAsia="zh-CN"/>
        </w:rPr>
        <w:t>. Our proposals are:</w:t>
      </w:r>
    </w:p>
    <w:p w:rsidR="00714F78" w:rsidRPr="002474AB" w:rsidRDefault="00714F78" w:rsidP="00714F78">
      <w:pPr>
        <w:tabs>
          <w:tab w:val="left" w:pos="1985"/>
        </w:tabs>
        <w:spacing w:after="0"/>
        <w:rPr>
          <w:rFonts w:hint="eastAsia"/>
          <w:b/>
          <w:i/>
          <w:lang w:val="en-US" w:eastAsia="zh-CN"/>
        </w:rPr>
      </w:pPr>
      <w:r w:rsidRPr="002474AB">
        <w:rPr>
          <w:rFonts w:hint="eastAsia"/>
          <w:b/>
          <w:i/>
          <w:lang w:eastAsia="zh-CN"/>
        </w:rPr>
        <w:t>P</w:t>
      </w:r>
      <w:r w:rsidRPr="002474AB">
        <w:rPr>
          <w:b/>
          <w:i/>
          <w:lang w:eastAsia="zh-CN"/>
        </w:rPr>
        <w:t xml:space="preserve">roposal 1: Use </w:t>
      </w:r>
      <w:r w:rsidRPr="002474AB">
        <w:rPr>
          <w:b/>
          <w:i/>
          <w:lang w:val="en-US" w:eastAsia="zh-CN"/>
        </w:rPr>
        <w:t>Duplex mode and SCS combinations as following:</w:t>
      </w:r>
    </w:p>
    <w:p w:rsidR="00714F78" w:rsidRPr="002474AB" w:rsidRDefault="00714F78" w:rsidP="001A7B8C">
      <w:pPr>
        <w:numPr>
          <w:ilvl w:val="0"/>
          <w:numId w:val="13"/>
        </w:numPr>
        <w:tabs>
          <w:tab w:val="left" w:pos="1985"/>
        </w:tabs>
        <w:spacing w:after="0"/>
        <w:rPr>
          <w:b/>
          <w:i/>
          <w:sz w:val="18"/>
          <w:lang w:val="en-US" w:eastAsia="zh-CN"/>
        </w:rPr>
      </w:pPr>
      <w:r w:rsidRPr="002474AB">
        <w:rPr>
          <w:b/>
          <w:i/>
          <w:sz w:val="18"/>
          <w:lang w:val="en-US" w:eastAsia="zh-CN"/>
        </w:rPr>
        <w:t>FR1: FDD + FDD with 15 kHz SCS and TDD + TDD with 30 kHz SCS</w:t>
      </w:r>
    </w:p>
    <w:p w:rsidR="00714F78" w:rsidRPr="002474AB" w:rsidRDefault="00714F78" w:rsidP="001A7B8C">
      <w:pPr>
        <w:numPr>
          <w:ilvl w:val="0"/>
          <w:numId w:val="13"/>
        </w:numPr>
        <w:tabs>
          <w:tab w:val="left" w:pos="1985"/>
        </w:tabs>
        <w:spacing w:after="0"/>
        <w:rPr>
          <w:rFonts w:hint="eastAsia"/>
          <w:b/>
          <w:i/>
          <w:sz w:val="18"/>
          <w:lang w:val="en-US" w:eastAsia="zh-CN"/>
        </w:rPr>
      </w:pPr>
      <w:r w:rsidRPr="002474AB">
        <w:rPr>
          <w:b/>
          <w:i/>
          <w:sz w:val="18"/>
          <w:lang w:val="en-US" w:eastAsia="zh-CN"/>
        </w:rPr>
        <w:t>FR2: TDD + TDD with 120 kHz SCS</w:t>
      </w:r>
    </w:p>
    <w:p w:rsidR="00714F78" w:rsidRPr="006F6298" w:rsidRDefault="00714F78" w:rsidP="00714F78">
      <w:pPr>
        <w:tabs>
          <w:tab w:val="left" w:pos="1985"/>
        </w:tabs>
        <w:spacing w:after="0"/>
        <w:rPr>
          <w:b/>
          <w:i/>
          <w:lang w:eastAsia="zh-CN"/>
        </w:rPr>
      </w:pPr>
      <w:r w:rsidRPr="006F6298">
        <w:rPr>
          <w:rFonts w:hint="eastAsia"/>
          <w:b/>
          <w:i/>
          <w:lang w:eastAsia="zh-CN"/>
        </w:rPr>
        <w:t>P</w:t>
      </w:r>
      <w:r w:rsidRPr="006F6298">
        <w:rPr>
          <w:b/>
          <w:i/>
          <w:lang w:eastAsia="zh-CN"/>
        </w:rPr>
        <w:t>roposal 2:</w:t>
      </w:r>
      <w:r>
        <w:rPr>
          <w:b/>
          <w:i/>
          <w:lang w:eastAsia="zh-CN"/>
        </w:rPr>
        <w:t xml:space="preserve"> Define the CA CQI performance requirements in bandwidth way and reuse the test applicability rule of LTE approach.</w:t>
      </w:r>
    </w:p>
    <w:p w:rsidR="007B2C3C" w:rsidRDefault="00714F78" w:rsidP="00714F78">
      <w:pPr>
        <w:tabs>
          <w:tab w:val="left" w:pos="1985"/>
        </w:tabs>
        <w:spacing w:after="0"/>
        <w:ind w:left="1979" w:hanging="1979"/>
        <w:rPr>
          <w:b/>
          <w:i/>
          <w:lang w:eastAsia="zh-CN"/>
        </w:rPr>
      </w:pPr>
      <w:r w:rsidRPr="006F6298">
        <w:rPr>
          <w:b/>
          <w:i/>
          <w:lang w:eastAsia="zh-CN"/>
        </w:rPr>
        <w:t>P</w:t>
      </w:r>
      <w:r w:rsidRPr="006F6298">
        <w:rPr>
          <w:rFonts w:hint="eastAsia"/>
          <w:b/>
          <w:i/>
          <w:lang w:eastAsia="zh-CN"/>
        </w:rPr>
        <w:t>r</w:t>
      </w:r>
      <w:r w:rsidRPr="006F6298">
        <w:rPr>
          <w:b/>
          <w:i/>
          <w:lang w:eastAsia="zh-CN"/>
        </w:rPr>
        <w:t>oposal 3: Use DDDSU as TDD pattern for 120</w:t>
      </w:r>
      <w:r>
        <w:rPr>
          <w:b/>
          <w:i/>
          <w:lang w:eastAsia="zh-CN"/>
        </w:rPr>
        <w:t xml:space="preserve"> </w:t>
      </w:r>
      <w:r w:rsidRPr="006F6298">
        <w:rPr>
          <w:b/>
          <w:i/>
          <w:lang w:eastAsia="zh-CN"/>
        </w:rPr>
        <w:t>kHz SCS</w:t>
      </w:r>
    </w:p>
    <w:p w:rsidR="006A27A7" w:rsidRPr="00E15696" w:rsidRDefault="006A27A7" w:rsidP="006A27A7">
      <w:pPr>
        <w:tabs>
          <w:tab w:val="left" w:pos="1985"/>
        </w:tabs>
        <w:spacing w:after="0"/>
        <w:rPr>
          <w:b/>
          <w:i/>
          <w:lang w:val="en-US" w:eastAsia="zh-CN"/>
        </w:rPr>
      </w:pPr>
      <w:r>
        <w:rPr>
          <w:b/>
          <w:i/>
          <w:lang w:eastAsia="zh-CN"/>
        </w:rPr>
        <w:t>Proposal 4</w:t>
      </w:r>
      <w:r w:rsidRPr="00E15696">
        <w:rPr>
          <w:b/>
          <w:i/>
          <w:lang w:eastAsia="zh-CN"/>
        </w:rPr>
        <w:t>:</w:t>
      </w:r>
      <w:r w:rsidRPr="00E15696">
        <w:rPr>
          <w:b/>
          <w:i/>
          <w:lang w:val="en-US" w:eastAsia="zh-CN"/>
        </w:rPr>
        <w:t xml:space="preserve"> General principle</w:t>
      </w:r>
    </w:p>
    <w:p w:rsidR="006A27A7" w:rsidRPr="00E15696" w:rsidRDefault="006A27A7" w:rsidP="001A7B8C">
      <w:pPr>
        <w:numPr>
          <w:ilvl w:val="1"/>
          <w:numId w:val="15"/>
        </w:numPr>
        <w:tabs>
          <w:tab w:val="left" w:pos="1985"/>
        </w:tabs>
        <w:spacing w:after="0"/>
        <w:rPr>
          <w:b/>
          <w:i/>
          <w:lang w:val="en-US" w:eastAsia="zh-CN"/>
        </w:rPr>
      </w:pPr>
      <w:r w:rsidRPr="00E15696">
        <w:rPr>
          <w:b/>
          <w:i/>
          <w:lang w:val="en-US" w:eastAsia="zh-CN"/>
        </w:rPr>
        <w:t>Following the methodology used in LTE, the difference between the wideband CQI indices of Pcell and the first Scell as well as the difference between the wideband CQI indices of the first Scell and the other Scell(s) (if any) shall be not smaller than a threshold, for more than 90% of the time</w:t>
      </w:r>
    </w:p>
    <w:p w:rsidR="006A27A7" w:rsidRPr="00E15696" w:rsidRDefault="006A27A7" w:rsidP="006A27A7">
      <w:pPr>
        <w:tabs>
          <w:tab w:val="left" w:pos="1985"/>
        </w:tabs>
        <w:spacing w:after="0"/>
        <w:ind w:left="720"/>
        <w:rPr>
          <w:b/>
          <w:i/>
          <w:lang w:val="en-US" w:eastAsia="zh-CN"/>
        </w:rPr>
      </w:pPr>
      <w:r w:rsidRPr="00E15696">
        <w:rPr>
          <w:b/>
          <w:i/>
          <w:lang w:val="en-US" w:eastAsia="zh-CN"/>
        </w:rPr>
        <w:t>SNR configuration for 2DL CA CQI test</w:t>
      </w:r>
    </w:p>
    <w:p w:rsidR="006A27A7" w:rsidRPr="00E15696" w:rsidRDefault="006A27A7" w:rsidP="001A7B8C">
      <w:pPr>
        <w:numPr>
          <w:ilvl w:val="1"/>
          <w:numId w:val="15"/>
        </w:numPr>
        <w:tabs>
          <w:tab w:val="left" w:pos="1985"/>
        </w:tabs>
        <w:spacing w:after="0"/>
        <w:rPr>
          <w:b/>
          <w:i/>
          <w:lang w:val="en-US" w:eastAsia="zh-CN"/>
        </w:rPr>
      </w:pPr>
      <w:r w:rsidRPr="00E15696">
        <w:rPr>
          <w:b/>
          <w:i/>
          <w:lang w:val="en-US" w:eastAsia="zh-CN"/>
        </w:rPr>
        <w:t>SNR</w:t>
      </w:r>
      <w:r w:rsidRPr="00E15696">
        <w:rPr>
          <w:b/>
          <w:i/>
          <w:vertAlign w:val="subscript"/>
          <w:lang w:val="en-US" w:eastAsia="zh-CN"/>
        </w:rPr>
        <w:t>Pcell</w:t>
      </w:r>
      <w:r w:rsidRPr="00E15696">
        <w:rPr>
          <w:b/>
          <w:i/>
          <w:lang w:val="en-US" w:eastAsia="zh-CN"/>
        </w:rPr>
        <w:t xml:space="preserve"> = 10dB and SNR</w:t>
      </w:r>
      <w:r w:rsidRPr="00E15696">
        <w:rPr>
          <w:b/>
          <w:i/>
          <w:vertAlign w:val="subscript"/>
          <w:lang w:val="en-US" w:eastAsia="zh-CN"/>
        </w:rPr>
        <w:t>Scell</w:t>
      </w:r>
      <w:r w:rsidRPr="00E15696">
        <w:rPr>
          <w:b/>
          <w:i/>
          <w:lang w:val="en-US" w:eastAsia="zh-CN"/>
        </w:rPr>
        <w:t xml:space="preserve"> = 4dB  </w:t>
      </w:r>
    </w:p>
    <w:p w:rsidR="006A27A7" w:rsidRPr="00E15696" w:rsidRDefault="006A27A7" w:rsidP="006A27A7">
      <w:pPr>
        <w:tabs>
          <w:tab w:val="left" w:pos="1985"/>
        </w:tabs>
        <w:spacing w:after="0"/>
        <w:ind w:left="720"/>
        <w:rPr>
          <w:b/>
          <w:i/>
          <w:lang w:val="en-US" w:eastAsia="zh-CN"/>
        </w:rPr>
      </w:pPr>
      <w:r w:rsidRPr="00E15696">
        <w:rPr>
          <w:b/>
          <w:i/>
          <w:lang w:val="en-US" w:eastAsia="zh-CN"/>
        </w:rPr>
        <w:t>SNR configuration for 3 or more DL CA CQI test</w:t>
      </w:r>
    </w:p>
    <w:p w:rsidR="006A27A7" w:rsidRPr="00E15696" w:rsidRDefault="006A27A7" w:rsidP="001A7B8C">
      <w:pPr>
        <w:numPr>
          <w:ilvl w:val="1"/>
          <w:numId w:val="15"/>
        </w:numPr>
        <w:tabs>
          <w:tab w:val="left" w:pos="1985"/>
        </w:tabs>
        <w:spacing w:after="0"/>
        <w:rPr>
          <w:b/>
          <w:i/>
          <w:lang w:val="en-US" w:eastAsia="zh-CN"/>
        </w:rPr>
      </w:pPr>
      <w:r w:rsidRPr="00E15696">
        <w:rPr>
          <w:b/>
          <w:i/>
          <w:lang w:val="en-US" w:eastAsia="zh-CN"/>
        </w:rPr>
        <w:t>Option 1: SNR</w:t>
      </w:r>
      <w:r w:rsidRPr="00E15696">
        <w:rPr>
          <w:b/>
          <w:i/>
          <w:vertAlign w:val="subscript"/>
          <w:lang w:val="en-US" w:eastAsia="zh-CN"/>
        </w:rPr>
        <w:t>Pcell</w:t>
      </w:r>
      <w:r w:rsidRPr="00E15696">
        <w:rPr>
          <w:b/>
          <w:i/>
          <w:lang w:val="en-US" w:eastAsia="zh-CN"/>
        </w:rPr>
        <w:t xml:space="preserve"> = 12dB, SNR</w:t>
      </w:r>
      <w:r w:rsidRPr="00E15696">
        <w:rPr>
          <w:b/>
          <w:i/>
          <w:vertAlign w:val="subscript"/>
          <w:lang w:val="en-US" w:eastAsia="zh-CN"/>
        </w:rPr>
        <w:t>Scell1</w:t>
      </w:r>
      <w:r w:rsidRPr="00E15696">
        <w:rPr>
          <w:b/>
          <w:i/>
          <w:lang w:val="en-US" w:eastAsia="zh-CN"/>
        </w:rPr>
        <w:t xml:space="preserve"> = 6dB, SNR</w:t>
      </w:r>
      <w:r w:rsidRPr="00E15696">
        <w:rPr>
          <w:b/>
          <w:i/>
          <w:vertAlign w:val="subscript"/>
          <w:lang w:val="en-US" w:eastAsia="zh-CN"/>
        </w:rPr>
        <w:t xml:space="preserve">Scell2, 3,… </w:t>
      </w:r>
      <w:r w:rsidRPr="00E15696">
        <w:rPr>
          <w:b/>
          <w:i/>
          <w:lang w:val="en-US" w:eastAsia="zh-CN"/>
        </w:rPr>
        <w:t>= 0dB</w:t>
      </w:r>
    </w:p>
    <w:p w:rsidR="006A27A7" w:rsidRPr="00E15696" w:rsidRDefault="006A27A7" w:rsidP="006A27A7">
      <w:pPr>
        <w:tabs>
          <w:tab w:val="left" w:pos="1985"/>
          <w:tab w:val="num" w:pos="2160"/>
        </w:tabs>
        <w:spacing w:after="0"/>
        <w:ind w:left="720"/>
        <w:rPr>
          <w:b/>
          <w:i/>
          <w:lang w:val="en-US" w:eastAsia="zh-CN"/>
        </w:rPr>
      </w:pPr>
      <w:r w:rsidRPr="00E15696">
        <w:rPr>
          <w:b/>
          <w:i/>
          <w:lang w:val="en-US" w:eastAsia="zh-CN"/>
        </w:rPr>
        <w:t>Delta CQI threshold for CA CQI test</w:t>
      </w:r>
    </w:p>
    <w:p w:rsidR="006A27A7" w:rsidRPr="006A27A7" w:rsidRDefault="006A27A7" w:rsidP="001A7B8C">
      <w:pPr>
        <w:numPr>
          <w:ilvl w:val="1"/>
          <w:numId w:val="15"/>
        </w:numPr>
        <w:tabs>
          <w:tab w:val="left" w:pos="1985"/>
        </w:tabs>
        <w:spacing w:after="0"/>
        <w:rPr>
          <w:rFonts w:hint="eastAsia"/>
          <w:b/>
          <w:i/>
          <w:lang w:val="en-US" w:eastAsia="zh-CN"/>
        </w:rPr>
      </w:pPr>
      <w:r w:rsidRPr="00E15696">
        <w:rPr>
          <w:b/>
          <w:i/>
          <w:iCs/>
          <w:lang w:val="en-US" w:eastAsia="zh-CN"/>
        </w:rPr>
        <w:t>thr</w:t>
      </w:r>
      <w:r w:rsidRPr="00E15696">
        <w:rPr>
          <w:b/>
          <w:i/>
          <w:lang w:val="en-US" w:eastAsia="zh-CN"/>
        </w:rPr>
        <w:t xml:space="preserve"> = 2 </w:t>
      </w:r>
    </w:p>
    <w:p w:rsidR="00182530" w:rsidRDefault="00134B5B" w:rsidP="00134B5B">
      <w:pPr>
        <w:pStyle w:val="1"/>
      </w:pPr>
      <w:bookmarkStart w:id="6" w:name="OLE_LINK11"/>
      <w:bookmarkStart w:id="7" w:name="OLE_LINK12"/>
      <w:r>
        <w:t>Reference</w:t>
      </w:r>
      <w:bookmarkEnd w:id="6"/>
      <w:bookmarkEnd w:id="7"/>
    </w:p>
    <w:p w:rsidR="00134B5B" w:rsidRPr="00134B5B" w:rsidRDefault="00134B5B" w:rsidP="001A7B8C">
      <w:pPr>
        <w:numPr>
          <w:ilvl w:val="0"/>
          <w:numId w:val="11"/>
        </w:numPr>
        <w:rPr>
          <w:lang w:val="en-US" w:eastAsia="zh-CN"/>
        </w:rPr>
      </w:pPr>
      <w:r>
        <w:rPr>
          <w:lang w:eastAsia="zh-CN"/>
        </w:rPr>
        <w:t xml:space="preserve"> </w:t>
      </w:r>
      <w:r w:rsidRPr="00134B5B">
        <w:rPr>
          <w:rFonts w:hint="eastAsia"/>
          <w:lang w:val="en-US" w:eastAsia="zh-CN"/>
        </w:rPr>
        <w:t>R4-2008848</w:t>
      </w:r>
      <w:r>
        <w:rPr>
          <w:lang w:val="en-US" w:eastAsia="zh-CN"/>
        </w:rPr>
        <w:t xml:space="preserve"> </w:t>
      </w:r>
      <w:r w:rsidRPr="00134B5B">
        <w:rPr>
          <w:rFonts w:hint="eastAsia"/>
          <w:lang w:eastAsia="zh-CN"/>
        </w:rPr>
        <w:t>Way forward on UE power imbalance requirements for FR1 CA and EN-DC</w:t>
      </w:r>
      <w:r w:rsidRPr="00134B5B">
        <w:rPr>
          <w:lang w:eastAsia="zh-CN"/>
        </w:rPr>
        <w:t xml:space="preserve">. </w:t>
      </w:r>
      <w:r w:rsidRPr="00134B5B">
        <w:rPr>
          <w:rFonts w:hint="eastAsia"/>
          <w:lang w:val="en-US" w:eastAsia="zh-CN"/>
        </w:rPr>
        <w:t>NTT DOCOMO</w:t>
      </w:r>
    </w:p>
    <w:p w:rsidR="00134B5B" w:rsidRPr="00134B5B" w:rsidRDefault="00134B5B" w:rsidP="001A7B8C">
      <w:pPr>
        <w:numPr>
          <w:ilvl w:val="0"/>
          <w:numId w:val="11"/>
        </w:numPr>
        <w:rPr>
          <w:rFonts w:hint="eastAsia"/>
          <w:lang w:eastAsia="zh-CN"/>
        </w:rPr>
      </w:pPr>
      <w:r>
        <w:rPr>
          <w:lang w:eastAsia="zh-CN"/>
        </w:rPr>
        <w:t xml:space="preserve"> </w:t>
      </w:r>
      <w:r w:rsidRPr="00134B5B">
        <w:rPr>
          <w:lang w:eastAsia="zh-CN"/>
        </w:rPr>
        <w:t>R4-2006039 FR1 CA PDSCH demodulation requirement with power imbalance</w:t>
      </w:r>
      <w:r>
        <w:rPr>
          <w:lang w:eastAsia="zh-CN"/>
        </w:rPr>
        <w:t>. China Telecom.</w:t>
      </w:r>
    </w:p>
    <w:sectPr w:rsidR="00134B5B" w:rsidRPr="00134B5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A96" w:rsidRDefault="00974A96">
      <w:r>
        <w:separator/>
      </w:r>
    </w:p>
  </w:endnote>
  <w:endnote w:type="continuationSeparator" w:id="0">
    <w:p w:rsidR="00974A96" w:rsidRDefault="00974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A96" w:rsidRDefault="00974A96">
      <w:r>
        <w:separator/>
      </w:r>
    </w:p>
  </w:footnote>
  <w:footnote w:type="continuationSeparator" w:id="0">
    <w:p w:rsidR="00974A96" w:rsidRDefault="00974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135"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7084B2A"/>
    <w:multiLevelType w:val="hybridMultilevel"/>
    <w:tmpl w:val="82569220"/>
    <w:lvl w:ilvl="0" w:tplc="0FE890EA">
      <w:start w:val="1"/>
      <w:numFmt w:val="bullet"/>
      <w:lvlText w:val="–"/>
      <w:lvlJc w:val="left"/>
      <w:pPr>
        <w:ind w:left="1560" w:hanging="420"/>
      </w:pPr>
      <w:rPr>
        <w:rFonts w:ascii="Arial" w:hAnsi="Aria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5" w15:restartNumberingAfterBreak="0">
    <w:nsid w:val="196E5253"/>
    <w:multiLevelType w:val="hybridMultilevel"/>
    <w:tmpl w:val="EB549C06"/>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0701A3"/>
    <w:multiLevelType w:val="hybridMultilevel"/>
    <w:tmpl w:val="FE2A1724"/>
    <w:lvl w:ilvl="0" w:tplc="04090001">
      <w:start w:val="1"/>
      <w:numFmt w:val="bullet"/>
      <w:lvlText w:val=""/>
      <w:lvlJc w:val="left"/>
      <w:pPr>
        <w:ind w:left="1840" w:hanging="420"/>
      </w:pPr>
      <w:rPr>
        <w:rFonts w:ascii="Wingdings" w:hAnsi="Wingdings"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7C2504"/>
    <w:multiLevelType w:val="hybridMultilevel"/>
    <w:tmpl w:val="A308FD8A"/>
    <w:lvl w:ilvl="0" w:tplc="5ABC6602">
      <w:start w:val="1"/>
      <w:numFmt w:val="bullet"/>
      <w:lvlText w:val="•"/>
      <w:lvlJc w:val="left"/>
      <w:pPr>
        <w:tabs>
          <w:tab w:val="num" w:pos="720"/>
        </w:tabs>
        <w:ind w:left="720" w:hanging="360"/>
      </w:pPr>
      <w:rPr>
        <w:rFonts w:ascii="Arial" w:hAnsi="Arial" w:hint="default"/>
      </w:rPr>
    </w:lvl>
    <w:lvl w:ilvl="1" w:tplc="B16ABC80">
      <w:numFmt w:val="bullet"/>
      <w:lvlText w:val="–"/>
      <w:lvlJc w:val="left"/>
      <w:pPr>
        <w:tabs>
          <w:tab w:val="num" w:pos="1440"/>
        </w:tabs>
        <w:ind w:left="1440" w:hanging="360"/>
      </w:pPr>
      <w:rPr>
        <w:rFonts w:ascii="Arial" w:hAnsi="Arial" w:hint="default"/>
      </w:rPr>
    </w:lvl>
    <w:lvl w:ilvl="2" w:tplc="09569F4E">
      <w:numFmt w:val="bullet"/>
      <w:lvlText w:val="•"/>
      <w:lvlJc w:val="left"/>
      <w:pPr>
        <w:tabs>
          <w:tab w:val="num" w:pos="2160"/>
        </w:tabs>
        <w:ind w:left="2160" w:hanging="360"/>
      </w:pPr>
      <w:rPr>
        <w:rFonts w:ascii="Arial" w:hAnsi="Arial" w:hint="default"/>
      </w:rPr>
    </w:lvl>
    <w:lvl w:ilvl="3" w:tplc="DCF66368">
      <w:numFmt w:val="bullet"/>
      <w:lvlText w:val=""/>
      <w:lvlJc w:val="left"/>
      <w:pPr>
        <w:tabs>
          <w:tab w:val="num" w:pos="2880"/>
        </w:tabs>
        <w:ind w:left="2880" w:hanging="360"/>
      </w:pPr>
      <w:rPr>
        <w:rFonts w:ascii="Wingdings" w:hAnsi="Wingdings" w:hint="default"/>
      </w:rPr>
    </w:lvl>
    <w:lvl w:ilvl="4" w:tplc="ED1E1940" w:tentative="1">
      <w:start w:val="1"/>
      <w:numFmt w:val="bullet"/>
      <w:lvlText w:val="•"/>
      <w:lvlJc w:val="left"/>
      <w:pPr>
        <w:tabs>
          <w:tab w:val="num" w:pos="3600"/>
        </w:tabs>
        <w:ind w:left="3600" w:hanging="360"/>
      </w:pPr>
      <w:rPr>
        <w:rFonts w:ascii="Arial" w:hAnsi="Arial" w:hint="default"/>
      </w:rPr>
    </w:lvl>
    <w:lvl w:ilvl="5" w:tplc="2A6A8718" w:tentative="1">
      <w:start w:val="1"/>
      <w:numFmt w:val="bullet"/>
      <w:lvlText w:val="•"/>
      <w:lvlJc w:val="left"/>
      <w:pPr>
        <w:tabs>
          <w:tab w:val="num" w:pos="4320"/>
        </w:tabs>
        <w:ind w:left="4320" w:hanging="360"/>
      </w:pPr>
      <w:rPr>
        <w:rFonts w:ascii="Arial" w:hAnsi="Arial" w:hint="default"/>
      </w:rPr>
    </w:lvl>
    <w:lvl w:ilvl="6" w:tplc="02946ADC" w:tentative="1">
      <w:start w:val="1"/>
      <w:numFmt w:val="bullet"/>
      <w:lvlText w:val="•"/>
      <w:lvlJc w:val="left"/>
      <w:pPr>
        <w:tabs>
          <w:tab w:val="num" w:pos="5040"/>
        </w:tabs>
        <w:ind w:left="5040" w:hanging="360"/>
      </w:pPr>
      <w:rPr>
        <w:rFonts w:ascii="Arial" w:hAnsi="Arial" w:hint="default"/>
      </w:rPr>
    </w:lvl>
    <w:lvl w:ilvl="7" w:tplc="DF1024D8" w:tentative="1">
      <w:start w:val="1"/>
      <w:numFmt w:val="bullet"/>
      <w:lvlText w:val="•"/>
      <w:lvlJc w:val="left"/>
      <w:pPr>
        <w:tabs>
          <w:tab w:val="num" w:pos="5760"/>
        </w:tabs>
        <w:ind w:left="5760" w:hanging="360"/>
      </w:pPr>
      <w:rPr>
        <w:rFonts w:ascii="Arial" w:hAnsi="Arial" w:hint="default"/>
      </w:rPr>
    </w:lvl>
    <w:lvl w:ilvl="8" w:tplc="C95202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Times New Roman" w:eastAsia="宋体" w:hAnsi="Times New Roman" w:cs="Times New Roman"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9C39DE"/>
    <w:multiLevelType w:val="hybridMultilevel"/>
    <w:tmpl w:val="78C81BCA"/>
    <w:lvl w:ilvl="0" w:tplc="66381262">
      <w:start w:val="1"/>
      <w:numFmt w:val="bullet"/>
      <w:lvlText w:val="•"/>
      <w:lvlJc w:val="left"/>
      <w:pPr>
        <w:tabs>
          <w:tab w:val="num" w:pos="720"/>
        </w:tabs>
        <w:ind w:left="720" w:hanging="360"/>
      </w:pPr>
      <w:rPr>
        <w:rFonts w:ascii="Arial" w:hAnsi="Arial" w:hint="default"/>
      </w:rPr>
    </w:lvl>
    <w:lvl w:ilvl="1" w:tplc="7EC48D5C">
      <w:numFmt w:val="bullet"/>
      <w:lvlText w:val="–"/>
      <w:lvlJc w:val="left"/>
      <w:pPr>
        <w:tabs>
          <w:tab w:val="num" w:pos="1440"/>
        </w:tabs>
        <w:ind w:left="1440" w:hanging="360"/>
      </w:pPr>
      <w:rPr>
        <w:rFonts w:ascii="Arial" w:hAnsi="Arial" w:hint="default"/>
      </w:rPr>
    </w:lvl>
    <w:lvl w:ilvl="2" w:tplc="736E9C66">
      <w:numFmt w:val="bullet"/>
      <w:lvlText w:val="•"/>
      <w:lvlJc w:val="left"/>
      <w:pPr>
        <w:tabs>
          <w:tab w:val="num" w:pos="2160"/>
        </w:tabs>
        <w:ind w:left="2160" w:hanging="360"/>
      </w:pPr>
      <w:rPr>
        <w:rFonts w:ascii="Arial" w:hAnsi="Arial" w:hint="default"/>
      </w:rPr>
    </w:lvl>
    <w:lvl w:ilvl="3" w:tplc="A3129B6A" w:tentative="1">
      <w:start w:val="1"/>
      <w:numFmt w:val="bullet"/>
      <w:lvlText w:val="•"/>
      <w:lvlJc w:val="left"/>
      <w:pPr>
        <w:tabs>
          <w:tab w:val="num" w:pos="2880"/>
        </w:tabs>
        <w:ind w:left="2880" w:hanging="360"/>
      </w:pPr>
      <w:rPr>
        <w:rFonts w:ascii="Arial" w:hAnsi="Arial" w:hint="default"/>
      </w:rPr>
    </w:lvl>
    <w:lvl w:ilvl="4" w:tplc="B658D288" w:tentative="1">
      <w:start w:val="1"/>
      <w:numFmt w:val="bullet"/>
      <w:lvlText w:val="•"/>
      <w:lvlJc w:val="left"/>
      <w:pPr>
        <w:tabs>
          <w:tab w:val="num" w:pos="3600"/>
        </w:tabs>
        <w:ind w:left="3600" w:hanging="360"/>
      </w:pPr>
      <w:rPr>
        <w:rFonts w:ascii="Arial" w:hAnsi="Arial" w:hint="default"/>
      </w:rPr>
    </w:lvl>
    <w:lvl w:ilvl="5" w:tplc="55E22AD2" w:tentative="1">
      <w:start w:val="1"/>
      <w:numFmt w:val="bullet"/>
      <w:lvlText w:val="•"/>
      <w:lvlJc w:val="left"/>
      <w:pPr>
        <w:tabs>
          <w:tab w:val="num" w:pos="4320"/>
        </w:tabs>
        <w:ind w:left="4320" w:hanging="360"/>
      </w:pPr>
      <w:rPr>
        <w:rFonts w:ascii="Arial" w:hAnsi="Arial" w:hint="default"/>
      </w:rPr>
    </w:lvl>
    <w:lvl w:ilvl="6" w:tplc="3B9A08D6" w:tentative="1">
      <w:start w:val="1"/>
      <w:numFmt w:val="bullet"/>
      <w:lvlText w:val="•"/>
      <w:lvlJc w:val="left"/>
      <w:pPr>
        <w:tabs>
          <w:tab w:val="num" w:pos="5040"/>
        </w:tabs>
        <w:ind w:left="5040" w:hanging="360"/>
      </w:pPr>
      <w:rPr>
        <w:rFonts w:ascii="Arial" w:hAnsi="Arial" w:hint="default"/>
      </w:rPr>
    </w:lvl>
    <w:lvl w:ilvl="7" w:tplc="4F6080C8" w:tentative="1">
      <w:start w:val="1"/>
      <w:numFmt w:val="bullet"/>
      <w:lvlText w:val="•"/>
      <w:lvlJc w:val="left"/>
      <w:pPr>
        <w:tabs>
          <w:tab w:val="num" w:pos="5760"/>
        </w:tabs>
        <w:ind w:left="5760" w:hanging="360"/>
      </w:pPr>
      <w:rPr>
        <w:rFonts w:ascii="Arial" w:hAnsi="Arial" w:hint="default"/>
      </w:rPr>
    </w:lvl>
    <w:lvl w:ilvl="8" w:tplc="ECBA38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3"/>
  </w:num>
  <w:num w:numId="4">
    <w:abstractNumId w:val="14"/>
  </w:num>
  <w:num w:numId="5">
    <w:abstractNumId w:val="10"/>
  </w:num>
  <w:num w:numId="6">
    <w:abstractNumId w:val="0"/>
  </w:num>
  <w:num w:numId="7">
    <w:abstractNumId w:val="3"/>
  </w:num>
  <w:num w:numId="8">
    <w:abstractNumId w:val="7"/>
  </w:num>
  <w:num w:numId="9">
    <w:abstractNumId w:val="9"/>
  </w:num>
  <w:num w:numId="10">
    <w:abstractNumId w:val="11"/>
  </w:num>
  <w:num w:numId="11">
    <w:abstractNumId w:val="5"/>
  </w:num>
  <w:num w:numId="12">
    <w:abstractNumId w:val="8"/>
  </w:num>
  <w:num w:numId="13">
    <w:abstractNumId w:val="6"/>
  </w:num>
  <w:num w:numId="14">
    <w:abstractNumId w:val="4"/>
  </w:num>
  <w:num w:numId="1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3CB8"/>
    <w:rsid w:val="00015330"/>
    <w:rsid w:val="0001565F"/>
    <w:rsid w:val="0001701A"/>
    <w:rsid w:val="00017C43"/>
    <w:rsid w:val="000205C0"/>
    <w:rsid w:val="00020BFF"/>
    <w:rsid w:val="00022374"/>
    <w:rsid w:val="000224E8"/>
    <w:rsid w:val="00022E4A"/>
    <w:rsid w:val="00023E5C"/>
    <w:rsid w:val="00025434"/>
    <w:rsid w:val="0002747B"/>
    <w:rsid w:val="00031567"/>
    <w:rsid w:val="00032AB8"/>
    <w:rsid w:val="0003419C"/>
    <w:rsid w:val="000346B7"/>
    <w:rsid w:val="000353C8"/>
    <w:rsid w:val="000357E9"/>
    <w:rsid w:val="00037B33"/>
    <w:rsid w:val="00040B64"/>
    <w:rsid w:val="0004127F"/>
    <w:rsid w:val="000421C4"/>
    <w:rsid w:val="00043BC5"/>
    <w:rsid w:val="000442D9"/>
    <w:rsid w:val="00044562"/>
    <w:rsid w:val="00044669"/>
    <w:rsid w:val="00045A30"/>
    <w:rsid w:val="000460B7"/>
    <w:rsid w:val="000468A5"/>
    <w:rsid w:val="00046A51"/>
    <w:rsid w:val="00047A86"/>
    <w:rsid w:val="00047D2B"/>
    <w:rsid w:val="000502EF"/>
    <w:rsid w:val="0005055D"/>
    <w:rsid w:val="00052018"/>
    <w:rsid w:val="000520DD"/>
    <w:rsid w:val="0005476A"/>
    <w:rsid w:val="00054CEB"/>
    <w:rsid w:val="00057F83"/>
    <w:rsid w:val="00061838"/>
    <w:rsid w:val="000622D3"/>
    <w:rsid w:val="00062A3B"/>
    <w:rsid w:val="00064173"/>
    <w:rsid w:val="000655EF"/>
    <w:rsid w:val="00067A3E"/>
    <w:rsid w:val="00070CDD"/>
    <w:rsid w:val="00071916"/>
    <w:rsid w:val="00072EDF"/>
    <w:rsid w:val="000737BB"/>
    <w:rsid w:val="000739A9"/>
    <w:rsid w:val="00073C97"/>
    <w:rsid w:val="00075055"/>
    <w:rsid w:val="00075247"/>
    <w:rsid w:val="00076E9F"/>
    <w:rsid w:val="00081C37"/>
    <w:rsid w:val="00083024"/>
    <w:rsid w:val="000832CF"/>
    <w:rsid w:val="00083842"/>
    <w:rsid w:val="000843D9"/>
    <w:rsid w:val="00084F0C"/>
    <w:rsid w:val="00085DF3"/>
    <w:rsid w:val="00086B96"/>
    <w:rsid w:val="0008746A"/>
    <w:rsid w:val="00091874"/>
    <w:rsid w:val="00092A68"/>
    <w:rsid w:val="00093E22"/>
    <w:rsid w:val="00094829"/>
    <w:rsid w:val="0009762D"/>
    <w:rsid w:val="00097964"/>
    <w:rsid w:val="00097992"/>
    <w:rsid w:val="00097FD1"/>
    <w:rsid w:val="000A10EB"/>
    <w:rsid w:val="000A2D64"/>
    <w:rsid w:val="000A3769"/>
    <w:rsid w:val="000A394F"/>
    <w:rsid w:val="000A3A19"/>
    <w:rsid w:val="000A4C5A"/>
    <w:rsid w:val="000A689E"/>
    <w:rsid w:val="000A6CBD"/>
    <w:rsid w:val="000B13E4"/>
    <w:rsid w:val="000B48A6"/>
    <w:rsid w:val="000B4B4A"/>
    <w:rsid w:val="000B5774"/>
    <w:rsid w:val="000B5F7E"/>
    <w:rsid w:val="000B78CC"/>
    <w:rsid w:val="000C00E1"/>
    <w:rsid w:val="000C42DD"/>
    <w:rsid w:val="000C4E93"/>
    <w:rsid w:val="000C5091"/>
    <w:rsid w:val="000C6CBB"/>
    <w:rsid w:val="000C6D76"/>
    <w:rsid w:val="000C6E31"/>
    <w:rsid w:val="000C7168"/>
    <w:rsid w:val="000D0344"/>
    <w:rsid w:val="000D3B23"/>
    <w:rsid w:val="000D468C"/>
    <w:rsid w:val="000D5EC9"/>
    <w:rsid w:val="000E02F8"/>
    <w:rsid w:val="000E05D6"/>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BFE"/>
    <w:rsid w:val="00101C00"/>
    <w:rsid w:val="00101C0B"/>
    <w:rsid w:val="00101F84"/>
    <w:rsid w:val="001024B9"/>
    <w:rsid w:val="00104141"/>
    <w:rsid w:val="001053B5"/>
    <w:rsid w:val="001062BB"/>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154"/>
    <w:rsid w:val="001312D1"/>
    <w:rsid w:val="0013156C"/>
    <w:rsid w:val="00131814"/>
    <w:rsid w:val="00131EA5"/>
    <w:rsid w:val="0013204A"/>
    <w:rsid w:val="00132625"/>
    <w:rsid w:val="00134506"/>
    <w:rsid w:val="00134B5B"/>
    <w:rsid w:val="00135B09"/>
    <w:rsid w:val="00140232"/>
    <w:rsid w:val="0014087A"/>
    <w:rsid w:val="00141333"/>
    <w:rsid w:val="00141DD6"/>
    <w:rsid w:val="00144AA6"/>
    <w:rsid w:val="0014638D"/>
    <w:rsid w:val="00147E06"/>
    <w:rsid w:val="001500C0"/>
    <w:rsid w:val="0015093A"/>
    <w:rsid w:val="00150FD5"/>
    <w:rsid w:val="00152608"/>
    <w:rsid w:val="0015526C"/>
    <w:rsid w:val="00157372"/>
    <w:rsid w:val="0016006A"/>
    <w:rsid w:val="0016044E"/>
    <w:rsid w:val="00160DF5"/>
    <w:rsid w:val="001629A3"/>
    <w:rsid w:val="001636D5"/>
    <w:rsid w:val="00163EEC"/>
    <w:rsid w:val="00165014"/>
    <w:rsid w:val="001656B0"/>
    <w:rsid w:val="001679FD"/>
    <w:rsid w:val="0017100B"/>
    <w:rsid w:val="00171F68"/>
    <w:rsid w:val="00177369"/>
    <w:rsid w:val="001775C4"/>
    <w:rsid w:val="001778DC"/>
    <w:rsid w:val="00177ED9"/>
    <w:rsid w:val="0018017B"/>
    <w:rsid w:val="00181069"/>
    <w:rsid w:val="00181137"/>
    <w:rsid w:val="001824E8"/>
    <w:rsid w:val="00182530"/>
    <w:rsid w:val="00184EF7"/>
    <w:rsid w:val="001860A0"/>
    <w:rsid w:val="0019227A"/>
    <w:rsid w:val="00195650"/>
    <w:rsid w:val="001977C8"/>
    <w:rsid w:val="00197C7B"/>
    <w:rsid w:val="001A1B88"/>
    <w:rsid w:val="001A1F92"/>
    <w:rsid w:val="001A2382"/>
    <w:rsid w:val="001A31EF"/>
    <w:rsid w:val="001A34F0"/>
    <w:rsid w:val="001A38C1"/>
    <w:rsid w:val="001A5E4F"/>
    <w:rsid w:val="001A68F4"/>
    <w:rsid w:val="001A6CB0"/>
    <w:rsid w:val="001A7B8C"/>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8F4"/>
    <w:rsid w:val="001D1EAA"/>
    <w:rsid w:val="001D2965"/>
    <w:rsid w:val="001D412B"/>
    <w:rsid w:val="001D4FA8"/>
    <w:rsid w:val="001D504E"/>
    <w:rsid w:val="001D5318"/>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1DE"/>
    <w:rsid w:val="001F46A0"/>
    <w:rsid w:val="001F5B17"/>
    <w:rsid w:val="001F6117"/>
    <w:rsid w:val="001F7A97"/>
    <w:rsid w:val="00200340"/>
    <w:rsid w:val="002010F1"/>
    <w:rsid w:val="0020116F"/>
    <w:rsid w:val="0020138F"/>
    <w:rsid w:val="002023A8"/>
    <w:rsid w:val="002023FE"/>
    <w:rsid w:val="002034DE"/>
    <w:rsid w:val="002042A1"/>
    <w:rsid w:val="0020587A"/>
    <w:rsid w:val="00205B9C"/>
    <w:rsid w:val="00206268"/>
    <w:rsid w:val="00206464"/>
    <w:rsid w:val="00207048"/>
    <w:rsid w:val="00207793"/>
    <w:rsid w:val="002107B2"/>
    <w:rsid w:val="002114FF"/>
    <w:rsid w:val="0021160E"/>
    <w:rsid w:val="0021191B"/>
    <w:rsid w:val="00212651"/>
    <w:rsid w:val="00214991"/>
    <w:rsid w:val="00220898"/>
    <w:rsid w:val="002214AD"/>
    <w:rsid w:val="0022182B"/>
    <w:rsid w:val="00221F98"/>
    <w:rsid w:val="00223971"/>
    <w:rsid w:val="0022418F"/>
    <w:rsid w:val="0022499C"/>
    <w:rsid w:val="00224B6C"/>
    <w:rsid w:val="00224CDF"/>
    <w:rsid w:val="00225BF4"/>
    <w:rsid w:val="002261DC"/>
    <w:rsid w:val="002263AA"/>
    <w:rsid w:val="00226AF5"/>
    <w:rsid w:val="002277A5"/>
    <w:rsid w:val="00230B8B"/>
    <w:rsid w:val="002313BF"/>
    <w:rsid w:val="00231E54"/>
    <w:rsid w:val="002321E8"/>
    <w:rsid w:val="002322F7"/>
    <w:rsid w:val="002323C1"/>
    <w:rsid w:val="00232E93"/>
    <w:rsid w:val="0023316B"/>
    <w:rsid w:val="0023360F"/>
    <w:rsid w:val="00234668"/>
    <w:rsid w:val="00234F69"/>
    <w:rsid w:val="00235251"/>
    <w:rsid w:val="00235B4C"/>
    <w:rsid w:val="00235FF5"/>
    <w:rsid w:val="00236705"/>
    <w:rsid w:val="0023683D"/>
    <w:rsid w:val="002376A3"/>
    <w:rsid w:val="002379A1"/>
    <w:rsid w:val="00241AD4"/>
    <w:rsid w:val="0024335F"/>
    <w:rsid w:val="00243BC1"/>
    <w:rsid w:val="00244332"/>
    <w:rsid w:val="00244703"/>
    <w:rsid w:val="00245B23"/>
    <w:rsid w:val="00245D64"/>
    <w:rsid w:val="00246DE8"/>
    <w:rsid w:val="002474AB"/>
    <w:rsid w:val="0025022A"/>
    <w:rsid w:val="00250854"/>
    <w:rsid w:val="00252287"/>
    <w:rsid w:val="0025228F"/>
    <w:rsid w:val="002530BE"/>
    <w:rsid w:val="00257195"/>
    <w:rsid w:val="002578D8"/>
    <w:rsid w:val="0026106B"/>
    <w:rsid w:val="002613A5"/>
    <w:rsid w:val="00266982"/>
    <w:rsid w:val="00267881"/>
    <w:rsid w:val="00270354"/>
    <w:rsid w:val="002723F2"/>
    <w:rsid w:val="00272F6E"/>
    <w:rsid w:val="00273821"/>
    <w:rsid w:val="00273FC1"/>
    <w:rsid w:val="00274E67"/>
    <w:rsid w:val="00275D12"/>
    <w:rsid w:val="00276CD2"/>
    <w:rsid w:val="00277A1E"/>
    <w:rsid w:val="0028062F"/>
    <w:rsid w:val="002808AD"/>
    <w:rsid w:val="00280FEC"/>
    <w:rsid w:val="00281EB0"/>
    <w:rsid w:val="0028456D"/>
    <w:rsid w:val="00284F05"/>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C50"/>
    <w:rsid w:val="002A622D"/>
    <w:rsid w:val="002A65D4"/>
    <w:rsid w:val="002A6FBE"/>
    <w:rsid w:val="002B1C9E"/>
    <w:rsid w:val="002B1E85"/>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931"/>
    <w:rsid w:val="002D2AB1"/>
    <w:rsid w:val="002D32AD"/>
    <w:rsid w:val="002D3445"/>
    <w:rsid w:val="002D3F6E"/>
    <w:rsid w:val="002D4229"/>
    <w:rsid w:val="002D4598"/>
    <w:rsid w:val="002D4826"/>
    <w:rsid w:val="002D4B06"/>
    <w:rsid w:val="002D4DCF"/>
    <w:rsid w:val="002D4EC0"/>
    <w:rsid w:val="002D721E"/>
    <w:rsid w:val="002E068A"/>
    <w:rsid w:val="002E0E6D"/>
    <w:rsid w:val="002E16EB"/>
    <w:rsid w:val="002E198C"/>
    <w:rsid w:val="002E2184"/>
    <w:rsid w:val="002E3EF6"/>
    <w:rsid w:val="002E4216"/>
    <w:rsid w:val="002E4C5F"/>
    <w:rsid w:val="002E5A45"/>
    <w:rsid w:val="002E5E1A"/>
    <w:rsid w:val="002E5E3B"/>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CD8"/>
    <w:rsid w:val="00305EE5"/>
    <w:rsid w:val="0030696B"/>
    <w:rsid w:val="003079D9"/>
    <w:rsid w:val="00307AFF"/>
    <w:rsid w:val="00310AAF"/>
    <w:rsid w:val="00310F20"/>
    <w:rsid w:val="0031179C"/>
    <w:rsid w:val="00312856"/>
    <w:rsid w:val="0031543D"/>
    <w:rsid w:val="00315F2F"/>
    <w:rsid w:val="00316D12"/>
    <w:rsid w:val="00316D4A"/>
    <w:rsid w:val="00317EF0"/>
    <w:rsid w:val="003205DA"/>
    <w:rsid w:val="0032143F"/>
    <w:rsid w:val="003225A2"/>
    <w:rsid w:val="0032289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36A3"/>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43D7"/>
    <w:rsid w:val="00366FA1"/>
    <w:rsid w:val="00367757"/>
    <w:rsid w:val="0037004C"/>
    <w:rsid w:val="003703CB"/>
    <w:rsid w:val="00370839"/>
    <w:rsid w:val="0037119B"/>
    <w:rsid w:val="003716D6"/>
    <w:rsid w:val="00371EED"/>
    <w:rsid w:val="00372A7D"/>
    <w:rsid w:val="00373E10"/>
    <w:rsid w:val="0037427C"/>
    <w:rsid w:val="00374450"/>
    <w:rsid w:val="003760CC"/>
    <w:rsid w:val="00380EBB"/>
    <w:rsid w:val="003819DC"/>
    <w:rsid w:val="00381C0D"/>
    <w:rsid w:val="00381F6C"/>
    <w:rsid w:val="00382B41"/>
    <w:rsid w:val="00384193"/>
    <w:rsid w:val="00384EED"/>
    <w:rsid w:val="003862C3"/>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244C"/>
    <w:rsid w:val="003B3117"/>
    <w:rsid w:val="003B5800"/>
    <w:rsid w:val="003B7C7F"/>
    <w:rsid w:val="003C1312"/>
    <w:rsid w:val="003C3310"/>
    <w:rsid w:val="003C3FBD"/>
    <w:rsid w:val="003C4C53"/>
    <w:rsid w:val="003C6D51"/>
    <w:rsid w:val="003C7216"/>
    <w:rsid w:val="003D0F1F"/>
    <w:rsid w:val="003D17A2"/>
    <w:rsid w:val="003D187F"/>
    <w:rsid w:val="003D1A37"/>
    <w:rsid w:val="003D4B4C"/>
    <w:rsid w:val="003D4CBF"/>
    <w:rsid w:val="003D5DCB"/>
    <w:rsid w:val="003D6692"/>
    <w:rsid w:val="003D6F36"/>
    <w:rsid w:val="003E0E02"/>
    <w:rsid w:val="003E0E80"/>
    <w:rsid w:val="003E2447"/>
    <w:rsid w:val="003E36DB"/>
    <w:rsid w:val="003E3ABC"/>
    <w:rsid w:val="003E47BE"/>
    <w:rsid w:val="003E4F0B"/>
    <w:rsid w:val="003E576C"/>
    <w:rsid w:val="003E63F5"/>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6080"/>
    <w:rsid w:val="0040734E"/>
    <w:rsid w:val="00407604"/>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974"/>
    <w:rsid w:val="00442CCE"/>
    <w:rsid w:val="00444983"/>
    <w:rsid w:val="00444BE2"/>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67D7"/>
    <w:rsid w:val="00466B68"/>
    <w:rsid w:val="00466CFA"/>
    <w:rsid w:val="00467069"/>
    <w:rsid w:val="004678D4"/>
    <w:rsid w:val="0047197D"/>
    <w:rsid w:val="00471C06"/>
    <w:rsid w:val="00472352"/>
    <w:rsid w:val="004736B9"/>
    <w:rsid w:val="00473B6E"/>
    <w:rsid w:val="0047550E"/>
    <w:rsid w:val="00475FA8"/>
    <w:rsid w:val="004761B3"/>
    <w:rsid w:val="0047739E"/>
    <w:rsid w:val="00480A4E"/>
    <w:rsid w:val="004822A4"/>
    <w:rsid w:val="00483D3E"/>
    <w:rsid w:val="00483ED7"/>
    <w:rsid w:val="004859BB"/>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7C"/>
    <w:rsid w:val="004A49E9"/>
    <w:rsid w:val="004A58B2"/>
    <w:rsid w:val="004A66C7"/>
    <w:rsid w:val="004A6E92"/>
    <w:rsid w:val="004A715A"/>
    <w:rsid w:val="004A724B"/>
    <w:rsid w:val="004A7C06"/>
    <w:rsid w:val="004B3D21"/>
    <w:rsid w:val="004B4C38"/>
    <w:rsid w:val="004B5426"/>
    <w:rsid w:val="004B5622"/>
    <w:rsid w:val="004B73E3"/>
    <w:rsid w:val="004B740B"/>
    <w:rsid w:val="004C13B5"/>
    <w:rsid w:val="004C3AD6"/>
    <w:rsid w:val="004C4FA4"/>
    <w:rsid w:val="004C5480"/>
    <w:rsid w:val="004C5649"/>
    <w:rsid w:val="004C702B"/>
    <w:rsid w:val="004C7705"/>
    <w:rsid w:val="004D0597"/>
    <w:rsid w:val="004D1F49"/>
    <w:rsid w:val="004D1F98"/>
    <w:rsid w:val="004D221A"/>
    <w:rsid w:val="004D244F"/>
    <w:rsid w:val="004D5606"/>
    <w:rsid w:val="004D6157"/>
    <w:rsid w:val="004D679B"/>
    <w:rsid w:val="004E118E"/>
    <w:rsid w:val="004E1D68"/>
    <w:rsid w:val="004E1FF7"/>
    <w:rsid w:val="004E22D6"/>
    <w:rsid w:val="004E6920"/>
    <w:rsid w:val="004E7EAF"/>
    <w:rsid w:val="004F0D89"/>
    <w:rsid w:val="004F113B"/>
    <w:rsid w:val="004F2ABD"/>
    <w:rsid w:val="004F2B49"/>
    <w:rsid w:val="004F2C82"/>
    <w:rsid w:val="004F30D4"/>
    <w:rsid w:val="004F3427"/>
    <w:rsid w:val="004F34D4"/>
    <w:rsid w:val="004F3BBB"/>
    <w:rsid w:val="004F3D40"/>
    <w:rsid w:val="004F4C0B"/>
    <w:rsid w:val="004F5216"/>
    <w:rsid w:val="004F5418"/>
    <w:rsid w:val="004F58BC"/>
    <w:rsid w:val="004F60A9"/>
    <w:rsid w:val="004F6211"/>
    <w:rsid w:val="004F6F3D"/>
    <w:rsid w:val="004F73A5"/>
    <w:rsid w:val="004F76F4"/>
    <w:rsid w:val="004F7F81"/>
    <w:rsid w:val="00501087"/>
    <w:rsid w:val="00502CE9"/>
    <w:rsid w:val="00502F03"/>
    <w:rsid w:val="00503992"/>
    <w:rsid w:val="00504E75"/>
    <w:rsid w:val="005058E9"/>
    <w:rsid w:val="00506CEC"/>
    <w:rsid w:val="00510F75"/>
    <w:rsid w:val="005125DD"/>
    <w:rsid w:val="005126C2"/>
    <w:rsid w:val="00512908"/>
    <w:rsid w:val="00512AD3"/>
    <w:rsid w:val="0051371E"/>
    <w:rsid w:val="00514BA5"/>
    <w:rsid w:val="00514D26"/>
    <w:rsid w:val="00516344"/>
    <w:rsid w:val="0051671D"/>
    <w:rsid w:val="00516802"/>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AAD"/>
    <w:rsid w:val="00532F2B"/>
    <w:rsid w:val="005330EE"/>
    <w:rsid w:val="005357B3"/>
    <w:rsid w:val="005365BE"/>
    <w:rsid w:val="005400C5"/>
    <w:rsid w:val="0054059A"/>
    <w:rsid w:val="00541256"/>
    <w:rsid w:val="0054438E"/>
    <w:rsid w:val="00546EF4"/>
    <w:rsid w:val="0054785C"/>
    <w:rsid w:val="005501A1"/>
    <w:rsid w:val="00550DD0"/>
    <w:rsid w:val="00551346"/>
    <w:rsid w:val="005519D6"/>
    <w:rsid w:val="00551C3E"/>
    <w:rsid w:val="00551DDD"/>
    <w:rsid w:val="00552D60"/>
    <w:rsid w:val="00553B83"/>
    <w:rsid w:val="005546C7"/>
    <w:rsid w:val="00555282"/>
    <w:rsid w:val="005554DB"/>
    <w:rsid w:val="00557C6C"/>
    <w:rsid w:val="005602B5"/>
    <w:rsid w:val="005609CE"/>
    <w:rsid w:val="00561EC3"/>
    <w:rsid w:val="00562891"/>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AD5"/>
    <w:rsid w:val="00586C11"/>
    <w:rsid w:val="00586DD7"/>
    <w:rsid w:val="00586F21"/>
    <w:rsid w:val="005936AE"/>
    <w:rsid w:val="005936AF"/>
    <w:rsid w:val="005944E5"/>
    <w:rsid w:val="00595823"/>
    <w:rsid w:val="0059611C"/>
    <w:rsid w:val="00597C30"/>
    <w:rsid w:val="005A2C0F"/>
    <w:rsid w:val="005A3E77"/>
    <w:rsid w:val="005A5317"/>
    <w:rsid w:val="005A5B67"/>
    <w:rsid w:val="005A6F63"/>
    <w:rsid w:val="005A77C6"/>
    <w:rsid w:val="005A7971"/>
    <w:rsid w:val="005B0621"/>
    <w:rsid w:val="005B142A"/>
    <w:rsid w:val="005B17D5"/>
    <w:rsid w:val="005B21D8"/>
    <w:rsid w:val="005B286F"/>
    <w:rsid w:val="005B288E"/>
    <w:rsid w:val="005B5098"/>
    <w:rsid w:val="005B57AD"/>
    <w:rsid w:val="005B662F"/>
    <w:rsid w:val="005B79EA"/>
    <w:rsid w:val="005C0B1C"/>
    <w:rsid w:val="005C1573"/>
    <w:rsid w:val="005C25B7"/>
    <w:rsid w:val="005C3EA0"/>
    <w:rsid w:val="005C7656"/>
    <w:rsid w:val="005C7ADC"/>
    <w:rsid w:val="005D0520"/>
    <w:rsid w:val="005D06F3"/>
    <w:rsid w:val="005D1877"/>
    <w:rsid w:val="005D1DAC"/>
    <w:rsid w:val="005D2E91"/>
    <w:rsid w:val="005D38FB"/>
    <w:rsid w:val="005D5A2E"/>
    <w:rsid w:val="005E0079"/>
    <w:rsid w:val="005E066C"/>
    <w:rsid w:val="005E2409"/>
    <w:rsid w:val="005E2C44"/>
    <w:rsid w:val="005E300B"/>
    <w:rsid w:val="005E3280"/>
    <w:rsid w:val="005E5A4E"/>
    <w:rsid w:val="005E64D8"/>
    <w:rsid w:val="005F0E08"/>
    <w:rsid w:val="005F1896"/>
    <w:rsid w:val="005F1E5C"/>
    <w:rsid w:val="005F48CD"/>
    <w:rsid w:val="00600BB7"/>
    <w:rsid w:val="00600E5D"/>
    <w:rsid w:val="006012B9"/>
    <w:rsid w:val="00602547"/>
    <w:rsid w:val="006050F1"/>
    <w:rsid w:val="00606F7E"/>
    <w:rsid w:val="00607113"/>
    <w:rsid w:val="0060743C"/>
    <w:rsid w:val="00607936"/>
    <w:rsid w:val="006079DE"/>
    <w:rsid w:val="00610758"/>
    <w:rsid w:val="0061083C"/>
    <w:rsid w:val="00610BA5"/>
    <w:rsid w:val="0061138D"/>
    <w:rsid w:val="00611D7A"/>
    <w:rsid w:val="006126FB"/>
    <w:rsid w:val="00615149"/>
    <w:rsid w:val="00615C80"/>
    <w:rsid w:val="00615EEE"/>
    <w:rsid w:val="00620B0F"/>
    <w:rsid w:val="00621D26"/>
    <w:rsid w:val="00622936"/>
    <w:rsid w:val="00623FA7"/>
    <w:rsid w:val="0062429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63"/>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3B7"/>
    <w:rsid w:val="006765FF"/>
    <w:rsid w:val="00681497"/>
    <w:rsid w:val="0068201F"/>
    <w:rsid w:val="00683590"/>
    <w:rsid w:val="00683A98"/>
    <w:rsid w:val="0068422A"/>
    <w:rsid w:val="006853A9"/>
    <w:rsid w:val="00685676"/>
    <w:rsid w:val="00685CB5"/>
    <w:rsid w:val="0068764D"/>
    <w:rsid w:val="006906C2"/>
    <w:rsid w:val="00690D77"/>
    <w:rsid w:val="00693A52"/>
    <w:rsid w:val="00694F02"/>
    <w:rsid w:val="00696285"/>
    <w:rsid w:val="006978C1"/>
    <w:rsid w:val="006A0DED"/>
    <w:rsid w:val="006A27A7"/>
    <w:rsid w:val="006A3874"/>
    <w:rsid w:val="006A3B64"/>
    <w:rsid w:val="006A443D"/>
    <w:rsid w:val="006A4BC4"/>
    <w:rsid w:val="006A664F"/>
    <w:rsid w:val="006A6838"/>
    <w:rsid w:val="006A6996"/>
    <w:rsid w:val="006A6C31"/>
    <w:rsid w:val="006B007A"/>
    <w:rsid w:val="006B178C"/>
    <w:rsid w:val="006B1CA7"/>
    <w:rsid w:val="006B2F6F"/>
    <w:rsid w:val="006B4EF4"/>
    <w:rsid w:val="006B506A"/>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1D9C"/>
    <w:rsid w:val="006E208E"/>
    <w:rsid w:val="006E21E4"/>
    <w:rsid w:val="006E3A1C"/>
    <w:rsid w:val="006E46B3"/>
    <w:rsid w:val="006E59BA"/>
    <w:rsid w:val="006F1D76"/>
    <w:rsid w:val="006F495F"/>
    <w:rsid w:val="006F4DAF"/>
    <w:rsid w:val="006F6298"/>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D9C"/>
    <w:rsid w:val="00705FA1"/>
    <w:rsid w:val="007060C9"/>
    <w:rsid w:val="00707064"/>
    <w:rsid w:val="00707D3A"/>
    <w:rsid w:val="0071066D"/>
    <w:rsid w:val="007125B7"/>
    <w:rsid w:val="00712AA2"/>
    <w:rsid w:val="00712F5A"/>
    <w:rsid w:val="007132D7"/>
    <w:rsid w:val="007136BA"/>
    <w:rsid w:val="00714F78"/>
    <w:rsid w:val="007156C4"/>
    <w:rsid w:val="007174EE"/>
    <w:rsid w:val="00717727"/>
    <w:rsid w:val="00720620"/>
    <w:rsid w:val="00720AED"/>
    <w:rsid w:val="00720BBB"/>
    <w:rsid w:val="00720CE4"/>
    <w:rsid w:val="00721BB2"/>
    <w:rsid w:val="007237E8"/>
    <w:rsid w:val="00726AB8"/>
    <w:rsid w:val="00726B94"/>
    <w:rsid w:val="007277FE"/>
    <w:rsid w:val="007304DD"/>
    <w:rsid w:val="007306B8"/>
    <w:rsid w:val="007310F2"/>
    <w:rsid w:val="007316DF"/>
    <w:rsid w:val="007320A6"/>
    <w:rsid w:val="00732E28"/>
    <w:rsid w:val="00733013"/>
    <w:rsid w:val="00733D85"/>
    <w:rsid w:val="00734EE7"/>
    <w:rsid w:val="007359D7"/>
    <w:rsid w:val="00737030"/>
    <w:rsid w:val="007378BA"/>
    <w:rsid w:val="0074024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52AA"/>
    <w:rsid w:val="00765492"/>
    <w:rsid w:val="007659A7"/>
    <w:rsid w:val="00766154"/>
    <w:rsid w:val="00766E73"/>
    <w:rsid w:val="007678AB"/>
    <w:rsid w:val="007678C0"/>
    <w:rsid w:val="007700E9"/>
    <w:rsid w:val="00772EE9"/>
    <w:rsid w:val="007735E2"/>
    <w:rsid w:val="00773E86"/>
    <w:rsid w:val="00774029"/>
    <w:rsid w:val="00774723"/>
    <w:rsid w:val="00774B66"/>
    <w:rsid w:val="00775151"/>
    <w:rsid w:val="007751E2"/>
    <w:rsid w:val="007755FD"/>
    <w:rsid w:val="007764BF"/>
    <w:rsid w:val="00776B4A"/>
    <w:rsid w:val="00776D40"/>
    <w:rsid w:val="007771C6"/>
    <w:rsid w:val="007778F6"/>
    <w:rsid w:val="007806CB"/>
    <w:rsid w:val="00780B3C"/>
    <w:rsid w:val="00782628"/>
    <w:rsid w:val="00783003"/>
    <w:rsid w:val="007831B3"/>
    <w:rsid w:val="00783551"/>
    <w:rsid w:val="00783FC0"/>
    <w:rsid w:val="0078572C"/>
    <w:rsid w:val="00785739"/>
    <w:rsid w:val="007900A2"/>
    <w:rsid w:val="007922F8"/>
    <w:rsid w:val="00792CD6"/>
    <w:rsid w:val="007931BA"/>
    <w:rsid w:val="00793961"/>
    <w:rsid w:val="0079442D"/>
    <w:rsid w:val="00794441"/>
    <w:rsid w:val="00795E88"/>
    <w:rsid w:val="00796155"/>
    <w:rsid w:val="00796436"/>
    <w:rsid w:val="00796522"/>
    <w:rsid w:val="00797D98"/>
    <w:rsid w:val="007A4999"/>
    <w:rsid w:val="007A4CD1"/>
    <w:rsid w:val="007A76A0"/>
    <w:rsid w:val="007B2C3C"/>
    <w:rsid w:val="007B446A"/>
    <w:rsid w:val="007B512A"/>
    <w:rsid w:val="007B5967"/>
    <w:rsid w:val="007B6720"/>
    <w:rsid w:val="007B6AB5"/>
    <w:rsid w:val="007B744C"/>
    <w:rsid w:val="007B74F1"/>
    <w:rsid w:val="007C1493"/>
    <w:rsid w:val="007C1ABF"/>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19CA"/>
    <w:rsid w:val="007F2759"/>
    <w:rsid w:val="007F423E"/>
    <w:rsid w:val="007F4E74"/>
    <w:rsid w:val="007F749D"/>
    <w:rsid w:val="007F750E"/>
    <w:rsid w:val="007F7A8D"/>
    <w:rsid w:val="007F7ACC"/>
    <w:rsid w:val="00801B02"/>
    <w:rsid w:val="00804A7D"/>
    <w:rsid w:val="00807E69"/>
    <w:rsid w:val="00811EB2"/>
    <w:rsid w:val="00812AD4"/>
    <w:rsid w:val="00814156"/>
    <w:rsid w:val="00822F59"/>
    <w:rsid w:val="0082326C"/>
    <w:rsid w:val="008236A1"/>
    <w:rsid w:val="00823D70"/>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5649A"/>
    <w:rsid w:val="008643E9"/>
    <w:rsid w:val="0086790E"/>
    <w:rsid w:val="00872C69"/>
    <w:rsid w:val="00873AA0"/>
    <w:rsid w:val="00874E26"/>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22C2"/>
    <w:rsid w:val="00892701"/>
    <w:rsid w:val="008946B7"/>
    <w:rsid w:val="008971DB"/>
    <w:rsid w:val="00897872"/>
    <w:rsid w:val="008A0411"/>
    <w:rsid w:val="008A07B6"/>
    <w:rsid w:val="008A1CC0"/>
    <w:rsid w:val="008A4719"/>
    <w:rsid w:val="008A4B74"/>
    <w:rsid w:val="008A58C6"/>
    <w:rsid w:val="008A60C1"/>
    <w:rsid w:val="008A6681"/>
    <w:rsid w:val="008A6A6E"/>
    <w:rsid w:val="008A6E23"/>
    <w:rsid w:val="008A701C"/>
    <w:rsid w:val="008A7C51"/>
    <w:rsid w:val="008B03C4"/>
    <w:rsid w:val="008B1A4E"/>
    <w:rsid w:val="008B2059"/>
    <w:rsid w:val="008B2872"/>
    <w:rsid w:val="008B291E"/>
    <w:rsid w:val="008B751B"/>
    <w:rsid w:val="008C0CFF"/>
    <w:rsid w:val="008C1E98"/>
    <w:rsid w:val="008C22ED"/>
    <w:rsid w:val="008C2871"/>
    <w:rsid w:val="008C320D"/>
    <w:rsid w:val="008C53F3"/>
    <w:rsid w:val="008C5A6C"/>
    <w:rsid w:val="008C7645"/>
    <w:rsid w:val="008C7D0D"/>
    <w:rsid w:val="008D0305"/>
    <w:rsid w:val="008D0901"/>
    <w:rsid w:val="008D1335"/>
    <w:rsid w:val="008D1CC6"/>
    <w:rsid w:val="008D2C81"/>
    <w:rsid w:val="008D3CC7"/>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AF"/>
    <w:rsid w:val="009029D6"/>
    <w:rsid w:val="009031F0"/>
    <w:rsid w:val="009035C5"/>
    <w:rsid w:val="00904758"/>
    <w:rsid w:val="009051C8"/>
    <w:rsid w:val="00905409"/>
    <w:rsid w:val="00905879"/>
    <w:rsid w:val="00905B1B"/>
    <w:rsid w:val="00905B7E"/>
    <w:rsid w:val="0090710A"/>
    <w:rsid w:val="00910004"/>
    <w:rsid w:val="009118A8"/>
    <w:rsid w:val="00916611"/>
    <w:rsid w:val="009173E2"/>
    <w:rsid w:val="0091792E"/>
    <w:rsid w:val="00920974"/>
    <w:rsid w:val="009222D0"/>
    <w:rsid w:val="00922D7C"/>
    <w:rsid w:val="009239BB"/>
    <w:rsid w:val="00924B93"/>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64A"/>
    <w:rsid w:val="00954A16"/>
    <w:rsid w:val="00955911"/>
    <w:rsid w:val="00955C83"/>
    <w:rsid w:val="00955EC7"/>
    <w:rsid w:val="009568A6"/>
    <w:rsid w:val="00956F3A"/>
    <w:rsid w:val="009612A1"/>
    <w:rsid w:val="00962E72"/>
    <w:rsid w:val="00964DEA"/>
    <w:rsid w:val="00966747"/>
    <w:rsid w:val="00966E9C"/>
    <w:rsid w:val="00967109"/>
    <w:rsid w:val="00967BBC"/>
    <w:rsid w:val="0097287E"/>
    <w:rsid w:val="009730B0"/>
    <w:rsid w:val="00974045"/>
    <w:rsid w:val="0097454C"/>
    <w:rsid w:val="00974677"/>
    <w:rsid w:val="00974794"/>
    <w:rsid w:val="009749F3"/>
    <w:rsid w:val="00974A96"/>
    <w:rsid w:val="00974FA3"/>
    <w:rsid w:val="00975E6F"/>
    <w:rsid w:val="00980067"/>
    <w:rsid w:val="00981B7A"/>
    <w:rsid w:val="00982B90"/>
    <w:rsid w:val="00983665"/>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5128"/>
    <w:rsid w:val="009B6FA1"/>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42CE"/>
    <w:rsid w:val="00A16333"/>
    <w:rsid w:val="00A16A4C"/>
    <w:rsid w:val="00A209E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333"/>
    <w:rsid w:val="00A46784"/>
    <w:rsid w:val="00A47E70"/>
    <w:rsid w:val="00A507A1"/>
    <w:rsid w:val="00A5369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C1C3E"/>
    <w:rsid w:val="00AC2B26"/>
    <w:rsid w:val="00AC32AC"/>
    <w:rsid w:val="00AC4067"/>
    <w:rsid w:val="00AC6137"/>
    <w:rsid w:val="00AC6156"/>
    <w:rsid w:val="00AC6556"/>
    <w:rsid w:val="00AD0483"/>
    <w:rsid w:val="00AD0624"/>
    <w:rsid w:val="00AD1841"/>
    <w:rsid w:val="00AD1BCC"/>
    <w:rsid w:val="00AD3B6A"/>
    <w:rsid w:val="00AD482F"/>
    <w:rsid w:val="00AD4B92"/>
    <w:rsid w:val="00AD530D"/>
    <w:rsid w:val="00AE0052"/>
    <w:rsid w:val="00AE007B"/>
    <w:rsid w:val="00AE0D3D"/>
    <w:rsid w:val="00AE20D4"/>
    <w:rsid w:val="00AE2CC3"/>
    <w:rsid w:val="00AE2D2C"/>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2DCF"/>
    <w:rsid w:val="00B039EC"/>
    <w:rsid w:val="00B05534"/>
    <w:rsid w:val="00B05988"/>
    <w:rsid w:val="00B075E1"/>
    <w:rsid w:val="00B07ABB"/>
    <w:rsid w:val="00B07FFB"/>
    <w:rsid w:val="00B12191"/>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1217"/>
    <w:rsid w:val="00B42D10"/>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5B5D"/>
    <w:rsid w:val="00B77537"/>
    <w:rsid w:val="00B77F3E"/>
    <w:rsid w:val="00B8063A"/>
    <w:rsid w:val="00B808CE"/>
    <w:rsid w:val="00B80FF9"/>
    <w:rsid w:val="00B81488"/>
    <w:rsid w:val="00B8244B"/>
    <w:rsid w:val="00B82661"/>
    <w:rsid w:val="00B82E23"/>
    <w:rsid w:val="00B83BC7"/>
    <w:rsid w:val="00B83F14"/>
    <w:rsid w:val="00B84852"/>
    <w:rsid w:val="00B8620B"/>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399B"/>
    <w:rsid w:val="00BB4CBA"/>
    <w:rsid w:val="00BB5613"/>
    <w:rsid w:val="00BB6430"/>
    <w:rsid w:val="00BB6A53"/>
    <w:rsid w:val="00BB6B31"/>
    <w:rsid w:val="00BB7446"/>
    <w:rsid w:val="00BC15A4"/>
    <w:rsid w:val="00BC308B"/>
    <w:rsid w:val="00BC35B5"/>
    <w:rsid w:val="00BC39FF"/>
    <w:rsid w:val="00BC4269"/>
    <w:rsid w:val="00BC5AC5"/>
    <w:rsid w:val="00BC6C4E"/>
    <w:rsid w:val="00BC7455"/>
    <w:rsid w:val="00BD0E0B"/>
    <w:rsid w:val="00BD279D"/>
    <w:rsid w:val="00BD36FB"/>
    <w:rsid w:val="00BD3C1A"/>
    <w:rsid w:val="00BD5AE8"/>
    <w:rsid w:val="00BD5E3C"/>
    <w:rsid w:val="00BD64F8"/>
    <w:rsid w:val="00BD6664"/>
    <w:rsid w:val="00BD6BEC"/>
    <w:rsid w:val="00BE0FD3"/>
    <w:rsid w:val="00BE1993"/>
    <w:rsid w:val="00BE2DAB"/>
    <w:rsid w:val="00BE2DDE"/>
    <w:rsid w:val="00BE3BE3"/>
    <w:rsid w:val="00BE4185"/>
    <w:rsid w:val="00BE50CD"/>
    <w:rsid w:val="00BE52BB"/>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412B"/>
    <w:rsid w:val="00C2448E"/>
    <w:rsid w:val="00C24E1D"/>
    <w:rsid w:val="00C25CD3"/>
    <w:rsid w:val="00C26920"/>
    <w:rsid w:val="00C309ED"/>
    <w:rsid w:val="00C322F9"/>
    <w:rsid w:val="00C33600"/>
    <w:rsid w:val="00C344DF"/>
    <w:rsid w:val="00C355F0"/>
    <w:rsid w:val="00C3600E"/>
    <w:rsid w:val="00C367B1"/>
    <w:rsid w:val="00C37A62"/>
    <w:rsid w:val="00C402BB"/>
    <w:rsid w:val="00C42D5A"/>
    <w:rsid w:val="00C42D6F"/>
    <w:rsid w:val="00C44E32"/>
    <w:rsid w:val="00C4539D"/>
    <w:rsid w:val="00C45879"/>
    <w:rsid w:val="00C458AC"/>
    <w:rsid w:val="00C460F5"/>
    <w:rsid w:val="00C4727C"/>
    <w:rsid w:val="00C4791F"/>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CB3"/>
    <w:rsid w:val="00C673DC"/>
    <w:rsid w:val="00C67B92"/>
    <w:rsid w:val="00C716CA"/>
    <w:rsid w:val="00C73295"/>
    <w:rsid w:val="00C73C42"/>
    <w:rsid w:val="00C74835"/>
    <w:rsid w:val="00C7493C"/>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1845"/>
    <w:rsid w:val="00CC1B29"/>
    <w:rsid w:val="00CC475F"/>
    <w:rsid w:val="00CC6082"/>
    <w:rsid w:val="00CC6C6E"/>
    <w:rsid w:val="00CC76E6"/>
    <w:rsid w:val="00CC7FD1"/>
    <w:rsid w:val="00CC7FFB"/>
    <w:rsid w:val="00CD01E6"/>
    <w:rsid w:val="00CD05C8"/>
    <w:rsid w:val="00CD06F2"/>
    <w:rsid w:val="00CD1A92"/>
    <w:rsid w:val="00CD1F55"/>
    <w:rsid w:val="00CD2EF4"/>
    <w:rsid w:val="00CD69CD"/>
    <w:rsid w:val="00CD6ED2"/>
    <w:rsid w:val="00CE0A18"/>
    <w:rsid w:val="00CE1A22"/>
    <w:rsid w:val="00CE2781"/>
    <w:rsid w:val="00CE33DA"/>
    <w:rsid w:val="00CE3BE7"/>
    <w:rsid w:val="00CE3C10"/>
    <w:rsid w:val="00CE5D62"/>
    <w:rsid w:val="00CE6357"/>
    <w:rsid w:val="00CE6634"/>
    <w:rsid w:val="00CE66D5"/>
    <w:rsid w:val="00CE6EDE"/>
    <w:rsid w:val="00CF0BD5"/>
    <w:rsid w:val="00CF5168"/>
    <w:rsid w:val="00CF62BB"/>
    <w:rsid w:val="00CF7357"/>
    <w:rsid w:val="00CF7811"/>
    <w:rsid w:val="00D0140B"/>
    <w:rsid w:val="00D020D2"/>
    <w:rsid w:val="00D0291E"/>
    <w:rsid w:val="00D045B1"/>
    <w:rsid w:val="00D051A3"/>
    <w:rsid w:val="00D0592B"/>
    <w:rsid w:val="00D12684"/>
    <w:rsid w:val="00D12D3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43A"/>
    <w:rsid w:val="00D44952"/>
    <w:rsid w:val="00D47B5E"/>
    <w:rsid w:val="00D500FB"/>
    <w:rsid w:val="00D504D2"/>
    <w:rsid w:val="00D507C5"/>
    <w:rsid w:val="00D51DA3"/>
    <w:rsid w:val="00D5234E"/>
    <w:rsid w:val="00D52DEF"/>
    <w:rsid w:val="00D55157"/>
    <w:rsid w:val="00D55F02"/>
    <w:rsid w:val="00D56017"/>
    <w:rsid w:val="00D60117"/>
    <w:rsid w:val="00D61CFF"/>
    <w:rsid w:val="00D61E64"/>
    <w:rsid w:val="00D6360C"/>
    <w:rsid w:val="00D63C07"/>
    <w:rsid w:val="00D64714"/>
    <w:rsid w:val="00D653B8"/>
    <w:rsid w:val="00D65A87"/>
    <w:rsid w:val="00D66BC4"/>
    <w:rsid w:val="00D66DB4"/>
    <w:rsid w:val="00D67393"/>
    <w:rsid w:val="00D67E08"/>
    <w:rsid w:val="00D7032C"/>
    <w:rsid w:val="00D704EB"/>
    <w:rsid w:val="00D7067B"/>
    <w:rsid w:val="00D712EC"/>
    <w:rsid w:val="00D7175C"/>
    <w:rsid w:val="00D72B2E"/>
    <w:rsid w:val="00D74B6B"/>
    <w:rsid w:val="00D754BD"/>
    <w:rsid w:val="00D760A8"/>
    <w:rsid w:val="00D76CB8"/>
    <w:rsid w:val="00D77A26"/>
    <w:rsid w:val="00D8003C"/>
    <w:rsid w:val="00D80C65"/>
    <w:rsid w:val="00D8495E"/>
    <w:rsid w:val="00D872FC"/>
    <w:rsid w:val="00D9074A"/>
    <w:rsid w:val="00D9097D"/>
    <w:rsid w:val="00D949C7"/>
    <w:rsid w:val="00D94E69"/>
    <w:rsid w:val="00D952E4"/>
    <w:rsid w:val="00D95B22"/>
    <w:rsid w:val="00DA056C"/>
    <w:rsid w:val="00DA32E6"/>
    <w:rsid w:val="00DA32F7"/>
    <w:rsid w:val="00DA5655"/>
    <w:rsid w:val="00DA6E41"/>
    <w:rsid w:val="00DA7113"/>
    <w:rsid w:val="00DA7A95"/>
    <w:rsid w:val="00DA7B9F"/>
    <w:rsid w:val="00DB227D"/>
    <w:rsid w:val="00DB2997"/>
    <w:rsid w:val="00DB3F0C"/>
    <w:rsid w:val="00DB6C9F"/>
    <w:rsid w:val="00DB6D92"/>
    <w:rsid w:val="00DB6EE7"/>
    <w:rsid w:val="00DB720D"/>
    <w:rsid w:val="00DB7520"/>
    <w:rsid w:val="00DC0462"/>
    <w:rsid w:val="00DC0A8A"/>
    <w:rsid w:val="00DC0CBC"/>
    <w:rsid w:val="00DC1800"/>
    <w:rsid w:val="00DC1A2A"/>
    <w:rsid w:val="00DC32FA"/>
    <w:rsid w:val="00DC57BD"/>
    <w:rsid w:val="00DC6190"/>
    <w:rsid w:val="00DC67AC"/>
    <w:rsid w:val="00DC6D5F"/>
    <w:rsid w:val="00DC7503"/>
    <w:rsid w:val="00DC7B6E"/>
    <w:rsid w:val="00DD0B00"/>
    <w:rsid w:val="00DD350D"/>
    <w:rsid w:val="00DD3B19"/>
    <w:rsid w:val="00DD4216"/>
    <w:rsid w:val="00DD4F6E"/>
    <w:rsid w:val="00DD50DD"/>
    <w:rsid w:val="00DD5AE1"/>
    <w:rsid w:val="00DD5E5D"/>
    <w:rsid w:val="00DE151B"/>
    <w:rsid w:val="00DE1F2B"/>
    <w:rsid w:val="00DE274C"/>
    <w:rsid w:val="00DE287D"/>
    <w:rsid w:val="00DE2A8B"/>
    <w:rsid w:val="00DE4090"/>
    <w:rsid w:val="00DE4A17"/>
    <w:rsid w:val="00DE5003"/>
    <w:rsid w:val="00DE60A2"/>
    <w:rsid w:val="00DE65CD"/>
    <w:rsid w:val="00DE7727"/>
    <w:rsid w:val="00DE7D8F"/>
    <w:rsid w:val="00DF0337"/>
    <w:rsid w:val="00DF1383"/>
    <w:rsid w:val="00DF2A1A"/>
    <w:rsid w:val="00DF4239"/>
    <w:rsid w:val="00DF50B0"/>
    <w:rsid w:val="00E0095F"/>
    <w:rsid w:val="00E028EE"/>
    <w:rsid w:val="00E03A59"/>
    <w:rsid w:val="00E03A6C"/>
    <w:rsid w:val="00E03EB1"/>
    <w:rsid w:val="00E10018"/>
    <w:rsid w:val="00E10F6B"/>
    <w:rsid w:val="00E119DC"/>
    <w:rsid w:val="00E129DE"/>
    <w:rsid w:val="00E12F74"/>
    <w:rsid w:val="00E139CA"/>
    <w:rsid w:val="00E15696"/>
    <w:rsid w:val="00E15C46"/>
    <w:rsid w:val="00E16BCC"/>
    <w:rsid w:val="00E16F1D"/>
    <w:rsid w:val="00E214EB"/>
    <w:rsid w:val="00E232BC"/>
    <w:rsid w:val="00E234D2"/>
    <w:rsid w:val="00E25963"/>
    <w:rsid w:val="00E26C40"/>
    <w:rsid w:val="00E26EF6"/>
    <w:rsid w:val="00E30D80"/>
    <w:rsid w:val="00E3131F"/>
    <w:rsid w:val="00E319C5"/>
    <w:rsid w:val="00E31B55"/>
    <w:rsid w:val="00E324CC"/>
    <w:rsid w:val="00E34407"/>
    <w:rsid w:val="00E3467F"/>
    <w:rsid w:val="00E413B8"/>
    <w:rsid w:val="00E41CD1"/>
    <w:rsid w:val="00E42AC9"/>
    <w:rsid w:val="00E4440F"/>
    <w:rsid w:val="00E454D5"/>
    <w:rsid w:val="00E45BFD"/>
    <w:rsid w:val="00E47690"/>
    <w:rsid w:val="00E51340"/>
    <w:rsid w:val="00E513E4"/>
    <w:rsid w:val="00E52089"/>
    <w:rsid w:val="00E52205"/>
    <w:rsid w:val="00E54B20"/>
    <w:rsid w:val="00E54D81"/>
    <w:rsid w:val="00E574B5"/>
    <w:rsid w:val="00E57526"/>
    <w:rsid w:val="00E60B85"/>
    <w:rsid w:val="00E61597"/>
    <w:rsid w:val="00E62133"/>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55F1"/>
    <w:rsid w:val="00E9713D"/>
    <w:rsid w:val="00E973A9"/>
    <w:rsid w:val="00EA1FBE"/>
    <w:rsid w:val="00EA251F"/>
    <w:rsid w:val="00EA6D06"/>
    <w:rsid w:val="00EA7266"/>
    <w:rsid w:val="00EB08DC"/>
    <w:rsid w:val="00EB3BD5"/>
    <w:rsid w:val="00EB4128"/>
    <w:rsid w:val="00EB4CC3"/>
    <w:rsid w:val="00EB52E7"/>
    <w:rsid w:val="00EB5621"/>
    <w:rsid w:val="00EB63D8"/>
    <w:rsid w:val="00EB6FF9"/>
    <w:rsid w:val="00EB7FA8"/>
    <w:rsid w:val="00EC0520"/>
    <w:rsid w:val="00EC0632"/>
    <w:rsid w:val="00EC2F89"/>
    <w:rsid w:val="00EC3290"/>
    <w:rsid w:val="00EC355E"/>
    <w:rsid w:val="00EC4533"/>
    <w:rsid w:val="00EC586C"/>
    <w:rsid w:val="00EC7C1B"/>
    <w:rsid w:val="00ED00C2"/>
    <w:rsid w:val="00ED17A9"/>
    <w:rsid w:val="00ED58D4"/>
    <w:rsid w:val="00ED5923"/>
    <w:rsid w:val="00ED5D30"/>
    <w:rsid w:val="00EE1449"/>
    <w:rsid w:val="00EE21FF"/>
    <w:rsid w:val="00EE39D6"/>
    <w:rsid w:val="00EE41D1"/>
    <w:rsid w:val="00EE4A13"/>
    <w:rsid w:val="00EE4CB7"/>
    <w:rsid w:val="00EE5C23"/>
    <w:rsid w:val="00EE678D"/>
    <w:rsid w:val="00EE6A3A"/>
    <w:rsid w:val="00EE7D34"/>
    <w:rsid w:val="00EE7D43"/>
    <w:rsid w:val="00EF0929"/>
    <w:rsid w:val="00EF137B"/>
    <w:rsid w:val="00EF1C97"/>
    <w:rsid w:val="00EF2310"/>
    <w:rsid w:val="00EF236D"/>
    <w:rsid w:val="00EF27C3"/>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4ADD"/>
    <w:rsid w:val="00F2536F"/>
    <w:rsid w:val="00F254D3"/>
    <w:rsid w:val="00F25C3B"/>
    <w:rsid w:val="00F25D98"/>
    <w:rsid w:val="00F261D9"/>
    <w:rsid w:val="00F300AE"/>
    <w:rsid w:val="00F300FB"/>
    <w:rsid w:val="00F30963"/>
    <w:rsid w:val="00F30AC8"/>
    <w:rsid w:val="00F31C90"/>
    <w:rsid w:val="00F340F4"/>
    <w:rsid w:val="00F34406"/>
    <w:rsid w:val="00F34408"/>
    <w:rsid w:val="00F414C4"/>
    <w:rsid w:val="00F4231F"/>
    <w:rsid w:val="00F42BE7"/>
    <w:rsid w:val="00F438DD"/>
    <w:rsid w:val="00F44146"/>
    <w:rsid w:val="00F444A3"/>
    <w:rsid w:val="00F44A58"/>
    <w:rsid w:val="00F45052"/>
    <w:rsid w:val="00F475D5"/>
    <w:rsid w:val="00F476A5"/>
    <w:rsid w:val="00F47A89"/>
    <w:rsid w:val="00F50F2A"/>
    <w:rsid w:val="00F53EBD"/>
    <w:rsid w:val="00F5423E"/>
    <w:rsid w:val="00F54EA6"/>
    <w:rsid w:val="00F54F0A"/>
    <w:rsid w:val="00F550A2"/>
    <w:rsid w:val="00F563FF"/>
    <w:rsid w:val="00F56E19"/>
    <w:rsid w:val="00F57005"/>
    <w:rsid w:val="00F600FF"/>
    <w:rsid w:val="00F601F4"/>
    <w:rsid w:val="00F60A08"/>
    <w:rsid w:val="00F61B0C"/>
    <w:rsid w:val="00F62D0D"/>
    <w:rsid w:val="00F62EF4"/>
    <w:rsid w:val="00F63694"/>
    <w:rsid w:val="00F6384E"/>
    <w:rsid w:val="00F63C33"/>
    <w:rsid w:val="00F646A7"/>
    <w:rsid w:val="00F64EDF"/>
    <w:rsid w:val="00F67AA6"/>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30A5"/>
    <w:rsid w:val="00F834DD"/>
    <w:rsid w:val="00F84699"/>
    <w:rsid w:val="00F84C75"/>
    <w:rsid w:val="00F858AF"/>
    <w:rsid w:val="00F86253"/>
    <w:rsid w:val="00F868E5"/>
    <w:rsid w:val="00F9063E"/>
    <w:rsid w:val="00F90AD2"/>
    <w:rsid w:val="00F91E87"/>
    <w:rsid w:val="00F922C3"/>
    <w:rsid w:val="00F925F5"/>
    <w:rsid w:val="00F930E2"/>
    <w:rsid w:val="00F942F0"/>
    <w:rsid w:val="00F9512C"/>
    <w:rsid w:val="00F9540E"/>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711"/>
    <w:rsid w:val="00FB4E84"/>
    <w:rsid w:val="00FB575F"/>
    <w:rsid w:val="00FB7724"/>
    <w:rsid w:val="00FB7F73"/>
    <w:rsid w:val="00FC09B6"/>
    <w:rsid w:val="00FC0E8D"/>
    <w:rsid w:val="00FC283B"/>
    <w:rsid w:val="00FC29D1"/>
    <w:rsid w:val="00FC3B17"/>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6FA6"/>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D720B349-F1BE-4DD8-BA42-5193EAC6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aliases w:val=" Char Char1 Char Char Char Char1 Char Char Char Char1 Char Char Char Char Char Char Char Char"/>
    <w:semiHidden/>
    <w:rsid w:val="00165014"/>
    <w:rPr>
      <w:rFonts w:eastAsia="宋体"/>
      <w:lang w:val="en-US" w:eastAsia="zh-CN" w:bidi="ar-SA"/>
    </w:rPr>
  </w:style>
  <w:style w:type="table" w:default="1" w:styleId="a4">
    <w:name w:val="Normal Table"/>
    <w:semiHidden/>
    <w:tblPr>
      <w:tblInd w:w="0" w:type="dxa"/>
      <w:tblCellMar>
        <w:top w:w="0" w:type="dxa"/>
        <w:left w:w="108" w:type="dxa"/>
        <w:bottom w:w="0" w:type="dxa"/>
        <w:right w:w="108" w:type="dxa"/>
      </w:tblCellMar>
    </w:tblPr>
  </w:style>
  <w:style w:type="numbering" w:default="1" w:styleId="a5">
    <w:name w:val="No List"/>
    <w:semiHidden/>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 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 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 (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 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 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 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hAnsi="Arial"/>
      <w:sz w:val="28"/>
      <w:lang w:val="en-GB" w:eastAsia="en-US"/>
    </w:rPr>
  </w:style>
  <w:style w:type="paragraph" w:customStyle="1" w:styleId="CharChar1CharCharCharChar1CharCharCharChar">
    <w:name w:val=" 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 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 (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TACChar">
    <w:name w:val="TAC Char"/>
    <w:link w:val="TAC"/>
    <w:qFormat/>
    <w:locked/>
    <w:rsid w:val="00C25CD3"/>
    <w:rPr>
      <w:rFonts w:ascii="Arial" w:eastAsia="宋体" w:hAnsi="Arial"/>
      <w:sz w:val="18"/>
      <w:lang w:val="en-GB" w:eastAsia="en-US"/>
    </w:rPr>
  </w:style>
  <w:style w:type="character" w:customStyle="1" w:styleId="TANChar">
    <w:name w:val="TAN Char"/>
    <w:link w:val="TAN"/>
    <w:locked/>
    <w:rsid w:val="00C25CD3"/>
    <w:rPr>
      <w:rFonts w:ascii="Arial" w:eastAsia="宋体" w:hAnsi="Arial"/>
      <w:sz w:val="18"/>
      <w:lang w:val="en-GB" w:eastAsia="en-US"/>
    </w:rPr>
  </w:style>
  <w:style w:type="character" w:customStyle="1" w:styleId="TAHCar">
    <w:name w:val="TAH Car"/>
    <w:link w:val="TAH"/>
    <w:qFormat/>
    <w:locked/>
    <w:rsid w:val="00C25CD3"/>
    <w:rPr>
      <w:rFonts w:ascii="Arial" w:eastAsia="宋体" w:hAnsi="Arial"/>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hAnsi="宋体" w:cs="宋体"/>
      <w:sz w:val="24"/>
      <w:szCs w:val="24"/>
      <w:lang w:val="en-US" w:eastAsia="zh-CN"/>
    </w:rPr>
  </w:style>
  <w:style w:type="character" w:customStyle="1" w:styleId="HTMLChar">
    <w:name w:val="HTML 预设格式 Char"/>
    <w:link w:val="HTML"/>
    <w:uiPriority w:val="99"/>
    <w:rsid w:val="00C64CB3"/>
    <w:rPr>
      <w:rFonts w:ascii="宋体" w:eastAsia="宋体" w:hAnsi="宋体" w:cs="宋体"/>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1"/>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1">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宋体"/>
    </w:rPr>
  </w:style>
  <w:style w:type="paragraph" w:styleId="afb">
    <w:name w:val="Body Text"/>
    <w:basedOn w:val="a2"/>
    <w:link w:val="Char2"/>
    <w:rsid w:val="004F4C0B"/>
    <w:pPr>
      <w:spacing w:after="120"/>
    </w:pPr>
  </w:style>
  <w:style w:type="character" w:customStyle="1" w:styleId="Char2">
    <w:name w:val="正文文本 Char"/>
    <w:link w:val="afb"/>
    <w:rsid w:val="004F4C0B"/>
    <w:rPr>
      <w:rFonts w:eastAsia="宋体"/>
      <w:lang w:val="en-GB" w:eastAsia="en-US" w:bidi="ar-SA"/>
    </w:rPr>
  </w:style>
  <w:style w:type="paragraph" w:styleId="afc">
    <w:name w:val="Body Text First Indent"/>
    <w:aliases w:val="正文首行缩进1,正文首行缩进 Char Char Char Char Char Char Char Char Char Char Char Char Char Char"/>
    <w:basedOn w:val="a2"/>
    <w:link w:val="Char3"/>
    <w:rsid w:val="004F4C0B"/>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Char3">
    <w:name w:val="正文首行缩进 Char"/>
    <w:aliases w:val="正文首行缩进1 Char,正文首行缩进 Char Char Char Char Char Char Char Char Char Char Char Char Char Char Char"/>
    <w:link w:val="afc"/>
    <w:rsid w:val="004F4C0B"/>
    <w:rPr>
      <w:rFonts w:ascii="Arial" w:eastAsia="宋体" w:hAnsi="Arial"/>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Arial" w:eastAsia="宋体" w:hAnsi="Arial"/>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Times New Roman"/>
      <w:lang w:eastAsia="ko-KR"/>
    </w:rPr>
  </w:style>
  <w:style w:type="character" w:customStyle="1" w:styleId="B1Char">
    <w:name w:val="B1 Char"/>
    <w:rsid w:val="005126C2"/>
    <w:rPr>
      <w:rFonts w:eastAsia="Times New Roman"/>
    </w:rPr>
  </w:style>
  <w:style w:type="character" w:customStyle="1" w:styleId="B2Char">
    <w:name w:val="B2 Char"/>
    <w:link w:val="B2"/>
    <w:rsid w:val="005126C2"/>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3868">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214246102">
      <w:bodyDiv w:val="1"/>
      <w:marLeft w:val="0"/>
      <w:marRight w:val="0"/>
      <w:marTop w:val="0"/>
      <w:marBottom w:val="0"/>
      <w:divBdr>
        <w:top w:val="none" w:sz="0" w:space="0" w:color="auto"/>
        <w:left w:val="none" w:sz="0" w:space="0" w:color="auto"/>
        <w:bottom w:val="none" w:sz="0" w:space="0" w:color="auto"/>
        <w:right w:val="none" w:sz="0" w:space="0" w:color="auto"/>
      </w:divBdr>
      <w:divsChild>
        <w:div w:id="1119763180">
          <w:marLeft w:val="547"/>
          <w:marRight w:val="0"/>
          <w:marTop w:val="96"/>
          <w:marBottom w:val="0"/>
          <w:divBdr>
            <w:top w:val="none" w:sz="0" w:space="0" w:color="auto"/>
            <w:left w:val="none" w:sz="0" w:space="0" w:color="auto"/>
            <w:bottom w:val="none" w:sz="0" w:space="0" w:color="auto"/>
            <w:right w:val="none" w:sz="0" w:space="0" w:color="auto"/>
          </w:divBdr>
        </w:div>
      </w:divsChild>
    </w:div>
    <w:div w:id="218782065">
      <w:bodyDiv w:val="1"/>
      <w:marLeft w:val="0"/>
      <w:marRight w:val="0"/>
      <w:marTop w:val="0"/>
      <w:marBottom w:val="0"/>
      <w:divBdr>
        <w:top w:val="none" w:sz="0" w:space="0" w:color="auto"/>
        <w:left w:val="none" w:sz="0" w:space="0" w:color="auto"/>
        <w:bottom w:val="none" w:sz="0" w:space="0" w:color="auto"/>
        <w:right w:val="none" w:sz="0" w:space="0" w:color="auto"/>
      </w:divBdr>
      <w:divsChild>
        <w:div w:id="214316350">
          <w:marLeft w:val="2520"/>
          <w:marRight w:val="0"/>
          <w:marTop w:val="100"/>
          <w:marBottom w:val="0"/>
          <w:divBdr>
            <w:top w:val="none" w:sz="0" w:space="0" w:color="auto"/>
            <w:left w:val="none" w:sz="0" w:space="0" w:color="auto"/>
            <w:bottom w:val="none" w:sz="0" w:space="0" w:color="auto"/>
            <w:right w:val="none" w:sz="0" w:space="0" w:color="auto"/>
          </w:divBdr>
        </w:div>
        <w:div w:id="436562319">
          <w:marLeft w:val="2520"/>
          <w:marRight w:val="0"/>
          <w:marTop w:val="100"/>
          <w:marBottom w:val="0"/>
          <w:divBdr>
            <w:top w:val="none" w:sz="0" w:space="0" w:color="auto"/>
            <w:left w:val="none" w:sz="0" w:space="0" w:color="auto"/>
            <w:bottom w:val="none" w:sz="0" w:space="0" w:color="auto"/>
            <w:right w:val="none" w:sz="0" w:space="0" w:color="auto"/>
          </w:divBdr>
        </w:div>
        <w:div w:id="656307421">
          <w:marLeft w:val="2520"/>
          <w:marRight w:val="0"/>
          <w:marTop w:val="100"/>
          <w:marBottom w:val="0"/>
          <w:divBdr>
            <w:top w:val="none" w:sz="0" w:space="0" w:color="auto"/>
            <w:left w:val="none" w:sz="0" w:space="0" w:color="auto"/>
            <w:bottom w:val="none" w:sz="0" w:space="0" w:color="auto"/>
            <w:right w:val="none" w:sz="0" w:space="0" w:color="auto"/>
          </w:divBdr>
        </w:div>
        <w:div w:id="829249450">
          <w:marLeft w:val="2520"/>
          <w:marRight w:val="0"/>
          <w:marTop w:val="100"/>
          <w:marBottom w:val="0"/>
          <w:divBdr>
            <w:top w:val="none" w:sz="0" w:space="0" w:color="auto"/>
            <w:left w:val="none" w:sz="0" w:space="0" w:color="auto"/>
            <w:bottom w:val="none" w:sz="0" w:space="0" w:color="auto"/>
            <w:right w:val="none" w:sz="0" w:space="0" w:color="auto"/>
          </w:divBdr>
        </w:div>
        <w:div w:id="991829904">
          <w:marLeft w:val="2520"/>
          <w:marRight w:val="0"/>
          <w:marTop w:val="100"/>
          <w:marBottom w:val="0"/>
          <w:divBdr>
            <w:top w:val="none" w:sz="0" w:space="0" w:color="auto"/>
            <w:left w:val="none" w:sz="0" w:space="0" w:color="auto"/>
            <w:bottom w:val="none" w:sz="0" w:space="0" w:color="auto"/>
            <w:right w:val="none" w:sz="0" w:space="0" w:color="auto"/>
          </w:divBdr>
        </w:div>
        <w:div w:id="1002663649">
          <w:marLeft w:val="2520"/>
          <w:marRight w:val="0"/>
          <w:marTop w:val="100"/>
          <w:marBottom w:val="0"/>
          <w:divBdr>
            <w:top w:val="none" w:sz="0" w:space="0" w:color="auto"/>
            <w:left w:val="none" w:sz="0" w:space="0" w:color="auto"/>
            <w:bottom w:val="none" w:sz="0" w:space="0" w:color="auto"/>
            <w:right w:val="none" w:sz="0" w:space="0" w:color="auto"/>
          </w:divBdr>
        </w:div>
        <w:div w:id="1023170037">
          <w:marLeft w:val="1800"/>
          <w:marRight w:val="0"/>
          <w:marTop w:val="100"/>
          <w:marBottom w:val="0"/>
          <w:divBdr>
            <w:top w:val="none" w:sz="0" w:space="0" w:color="auto"/>
            <w:left w:val="none" w:sz="0" w:space="0" w:color="auto"/>
            <w:bottom w:val="none" w:sz="0" w:space="0" w:color="auto"/>
            <w:right w:val="none" w:sz="0" w:space="0" w:color="auto"/>
          </w:divBdr>
        </w:div>
        <w:div w:id="1343703706">
          <w:marLeft w:val="1080"/>
          <w:marRight w:val="0"/>
          <w:marTop w:val="100"/>
          <w:marBottom w:val="0"/>
          <w:divBdr>
            <w:top w:val="none" w:sz="0" w:space="0" w:color="auto"/>
            <w:left w:val="none" w:sz="0" w:space="0" w:color="auto"/>
            <w:bottom w:val="none" w:sz="0" w:space="0" w:color="auto"/>
            <w:right w:val="none" w:sz="0" w:space="0" w:color="auto"/>
          </w:divBdr>
        </w:div>
        <w:div w:id="2017732573">
          <w:marLeft w:val="2520"/>
          <w:marRight w:val="0"/>
          <w:marTop w:val="100"/>
          <w:marBottom w:val="0"/>
          <w:divBdr>
            <w:top w:val="none" w:sz="0" w:space="0" w:color="auto"/>
            <w:left w:val="none" w:sz="0" w:space="0" w:color="auto"/>
            <w:bottom w:val="none" w:sz="0" w:space="0" w:color="auto"/>
            <w:right w:val="none" w:sz="0" w:space="0" w:color="auto"/>
          </w:divBdr>
        </w:div>
        <w:div w:id="2066903621">
          <w:marLeft w:val="1800"/>
          <w:marRight w:val="0"/>
          <w:marTop w:val="100"/>
          <w:marBottom w:val="0"/>
          <w:divBdr>
            <w:top w:val="none" w:sz="0" w:space="0" w:color="auto"/>
            <w:left w:val="none" w:sz="0" w:space="0" w:color="auto"/>
            <w:bottom w:val="none" w:sz="0" w:space="0" w:color="auto"/>
            <w:right w:val="none" w:sz="0" w:space="0" w:color="auto"/>
          </w:divBdr>
        </w:div>
        <w:div w:id="2079470589">
          <w:marLeft w:val="1080"/>
          <w:marRight w:val="0"/>
          <w:marTop w:val="100"/>
          <w:marBottom w:val="0"/>
          <w:divBdr>
            <w:top w:val="none" w:sz="0" w:space="0" w:color="auto"/>
            <w:left w:val="none" w:sz="0" w:space="0" w:color="auto"/>
            <w:bottom w:val="none" w:sz="0" w:space="0" w:color="auto"/>
            <w:right w:val="none" w:sz="0" w:space="0" w:color="auto"/>
          </w:divBdr>
        </w:div>
      </w:divsChild>
    </w:div>
    <w:div w:id="25710527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98268539">
      <w:bodyDiv w:val="1"/>
      <w:marLeft w:val="0"/>
      <w:marRight w:val="0"/>
      <w:marTop w:val="0"/>
      <w:marBottom w:val="0"/>
      <w:divBdr>
        <w:top w:val="none" w:sz="0" w:space="0" w:color="auto"/>
        <w:left w:val="none" w:sz="0" w:space="0" w:color="auto"/>
        <w:bottom w:val="none" w:sz="0" w:space="0" w:color="auto"/>
        <w:right w:val="none" w:sz="0" w:space="0" w:color="auto"/>
      </w:divBdr>
      <w:divsChild>
        <w:div w:id="381368500">
          <w:marLeft w:val="547"/>
          <w:marRight w:val="0"/>
          <w:marTop w:val="96"/>
          <w:marBottom w:val="0"/>
          <w:divBdr>
            <w:top w:val="none" w:sz="0" w:space="0" w:color="auto"/>
            <w:left w:val="none" w:sz="0" w:space="0" w:color="auto"/>
            <w:bottom w:val="none" w:sz="0" w:space="0" w:color="auto"/>
            <w:right w:val="none" w:sz="0" w:space="0" w:color="auto"/>
          </w:divBdr>
        </w:div>
        <w:div w:id="931664050">
          <w:marLeft w:val="1166"/>
          <w:marRight w:val="0"/>
          <w:marTop w:val="96"/>
          <w:marBottom w:val="0"/>
          <w:divBdr>
            <w:top w:val="none" w:sz="0" w:space="0" w:color="auto"/>
            <w:left w:val="none" w:sz="0" w:space="0" w:color="auto"/>
            <w:bottom w:val="none" w:sz="0" w:space="0" w:color="auto"/>
            <w:right w:val="none" w:sz="0" w:space="0" w:color="auto"/>
          </w:divBdr>
        </w:div>
        <w:div w:id="1110053833">
          <w:marLeft w:val="2520"/>
          <w:marRight w:val="0"/>
          <w:marTop w:val="96"/>
          <w:marBottom w:val="0"/>
          <w:divBdr>
            <w:top w:val="none" w:sz="0" w:space="0" w:color="auto"/>
            <w:left w:val="none" w:sz="0" w:space="0" w:color="auto"/>
            <w:bottom w:val="none" w:sz="0" w:space="0" w:color="auto"/>
            <w:right w:val="none" w:sz="0" w:space="0" w:color="auto"/>
          </w:divBdr>
        </w:div>
        <w:div w:id="1279291512">
          <w:marLeft w:val="1166"/>
          <w:marRight w:val="0"/>
          <w:marTop w:val="96"/>
          <w:marBottom w:val="0"/>
          <w:divBdr>
            <w:top w:val="none" w:sz="0" w:space="0" w:color="auto"/>
            <w:left w:val="none" w:sz="0" w:space="0" w:color="auto"/>
            <w:bottom w:val="none" w:sz="0" w:space="0" w:color="auto"/>
            <w:right w:val="none" w:sz="0" w:space="0" w:color="auto"/>
          </w:divBdr>
        </w:div>
        <w:div w:id="1333483895">
          <w:marLeft w:val="1800"/>
          <w:marRight w:val="0"/>
          <w:marTop w:val="96"/>
          <w:marBottom w:val="0"/>
          <w:divBdr>
            <w:top w:val="none" w:sz="0" w:space="0" w:color="auto"/>
            <w:left w:val="none" w:sz="0" w:space="0" w:color="auto"/>
            <w:bottom w:val="none" w:sz="0" w:space="0" w:color="auto"/>
            <w:right w:val="none" w:sz="0" w:space="0" w:color="auto"/>
          </w:divBdr>
        </w:div>
      </w:divsChild>
    </w:div>
    <w:div w:id="373625718">
      <w:bodyDiv w:val="1"/>
      <w:marLeft w:val="0"/>
      <w:marRight w:val="0"/>
      <w:marTop w:val="0"/>
      <w:marBottom w:val="0"/>
      <w:divBdr>
        <w:top w:val="none" w:sz="0" w:space="0" w:color="auto"/>
        <w:left w:val="none" w:sz="0" w:space="0" w:color="auto"/>
        <w:bottom w:val="none" w:sz="0" w:space="0" w:color="auto"/>
        <w:right w:val="none" w:sz="0" w:space="0" w:color="auto"/>
      </w:divBdr>
      <w:divsChild>
        <w:div w:id="1198548009">
          <w:marLeft w:val="1080"/>
          <w:marRight w:val="0"/>
          <w:marTop w:val="100"/>
          <w:marBottom w:val="0"/>
          <w:divBdr>
            <w:top w:val="none" w:sz="0" w:space="0" w:color="auto"/>
            <w:left w:val="none" w:sz="0" w:space="0" w:color="auto"/>
            <w:bottom w:val="none" w:sz="0" w:space="0" w:color="auto"/>
            <w:right w:val="none" w:sz="0" w:space="0" w:color="auto"/>
          </w:divBdr>
        </w:div>
      </w:divsChild>
    </w:div>
    <w:div w:id="394741854">
      <w:bodyDiv w:val="1"/>
      <w:marLeft w:val="0"/>
      <w:marRight w:val="0"/>
      <w:marTop w:val="0"/>
      <w:marBottom w:val="0"/>
      <w:divBdr>
        <w:top w:val="none" w:sz="0" w:space="0" w:color="auto"/>
        <w:left w:val="none" w:sz="0" w:space="0" w:color="auto"/>
        <w:bottom w:val="none" w:sz="0" w:space="0" w:color="auto"/>
        <w:right w:val="none" w:sz="0" w:space="0" w:color="auto"/>
      </w:divBdr>
      <w:divsChild>
        <w:div w:id="1636375961">
          <w:marLeft w:val="547"/>
          <w:marRight w:val="0"/>
          <w:marTop w:val="86"/>
          <w:marBottom w:val="0"/>
          <w:divBdr>
            <w:top w:val="none" w:sz="0" w:space="0" w:color="auto"/>
            <w:left w:val="none" w:sz="0" w:space="0" w:color="auto"/>
            <w:bottom w:val="none" w:sz="0" w:space="0" w:color="auto"/>
            <w:right w:val="none" w:sz="0" w:space="0" w:color="auto"/>
          </w:divBdr>
        </w:div>
      </w:divsChild>
    </w:div>
    <w:div w:id="405078788">
      <w:bodyDiv w:val="1"/>
      <w:marLeft w:val="0"/>
      <w:marRight w:val="0"/>
      <w:marTop w:val="0"/>
      <w:marBottom w:val="0"/>
      <w:divBdr>
        <w:top w:val="none" w:sz="0" w:space="0" w:color="auto"/>
        <w:left w:val="none" w:sz="0" w:space="0" w:color="auto"/>
        <w:bottom w:val="none" w:sz="0" w:space="0" w:color="auto"/>
        <w:right w:val="none" w:sz="0" w:space="0" w:color="auto"/>
      </w:divBdr>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7261369">
      <w:bodyDiv w:val="1"/>
      <w:marLeft w:val="0"/>
      <w:marRight w:val="0"/>
      <w:marTop w:val="0"/>
      <w:marBottom w:val="0"/>
      <w:divBdr>
        <w:top w:val="none" w:sz="0" w:space="0" w:color="auto"/>
        <w:left w:val="none" w:sz="0" w:space="0" w:color="auto"/>
        <w:bottom w:val="none" w:sz="0" w:space="0" w:color="auto"/>
        <w:right w:val="none" w:sz="0" w:space="0" w:color="auto"/>
      </w:divBdr>
      <w:divsChild>
        <w:div w:id="164787270">
          <w:marLeft w:val="1800"/>
          <w:marRight w:val="0"/>
          <w:marTop w:val="100"/>
          <w:marBottom w:val="0"/>
          <w:divBdr>
            <w:top w:val="none" w:sz="0" w:space="0" w:color="auto"/>
            <w:left w:val="none" w:sz="0" w:space="0" w:color="auto"/>
            <w:bottom w:val="none" w:sz="0" w:space="0" w:color="auto"/>
            <w:right w:val="none" w:sz="0" w:space="0" w:color="auto"/>
          </w:divBdr>
        </w:div>
        <w:div w:id="195965778">
          <w:marLeft w:val="1800"/>
          <w:marRight w:val="0"/>
          <w:marTop w:val="100"/>
          <w:marBottom w:val="0"/>
          <w:divBdr>
            <w:top w:val="none" w:sz="0" w:space="0" w:color="auto"/>
            <w:left w:val="none" w:sz="0" w:space="0" w:color="auto"/>
            <w:bottom w:val="none" w:sz="0" w:space="0" w:color="auto"/>
            <w:right w:val="none" w:sz="0" w:space="0" w:color="auto"/>
          </w:divBdr>
        </w:div>
        <w:div w:id="318731720">
          <w:marLeft w:val="1080"/>
          <w:marRight w:val="0"/>
          <w:marTop w:val="100"/>
          <w:marBottom w:val="0"/>
          <w:divBdr>
            <w:top w:val="none" w:sz="0" w:space="0" w:color="auto"/>
            <w:left w:val="none" w:sz="0" w:space="0" w:color="auto"/>
            <w:bottom w:val="none" w:sz="0" w:space="0" w:color="auto"/>
            <w:right w:val="none" w:sz="0" w:space="0" w:color="auto"/>
          </w:divBdr>
        </w:div>
        <w:div w:id="424228967">
          <w:marLeft w:val="360"/>
          <w:marRight w:val="0"/>
          <w:marTop w:val="200"/>
          <w:marBottom w:val="0"/>
          <w:divBdr>
            <w:top w:val="none" w:sz="0" w:space="0" w:color="auto"/>
            <w:left w:val="none" w:sz="0" w:space="0" w:color="auto"/>
            <w:bottom w:val="none" w:sz="0" w:space="0" w:color="auto"/>
            <w:right w:val="none" w:sz="0" w:space="0" w:color="auto"/>
          </w:divBdr>
        </w:div>
        <w:div w:id="580331714">
          <w:marLeft w:val="2520"/>
          <w:marRight w:val="0"/>
          <w:marTop w:val="100"/>
          <w:marBottom w:val="0"/>
          <w:divBdr>
            <w:top w:val="none" w:sz="0" w:space="0" w:color="auto"/>
            <w:left w:val="none" w:sz="0" w:space="0" w:color="auto"/>
            <w:bottom w:val="none" w:sz="0" w:space="0" w:color="auto"/>
            <w:right w:val="none" w:sz="0" w:space="0" w:color="auto"/>
          </w:divBdr>
        </w:div>
        <w:div w:id="1878816761">
          <w:marLeft w:val="2520"/>
          <w:marRight w:val="0"/>
          <w:marTop w:val="100"/>
          <w:marBottom w:val="0"/>
          <w:divBdr>
            <w:top w:val="none" w:sz="0" w:space="0" w:color="auto"/>
            <w:left w:val="none" w:sz="0" w:space="0" w:color="auto"/>
            <w:bottom w:val="none" w:sz="0" w:space="0" w:color="auto"/>
            <w:right w:val="none" w:sz="0" w:space="0" w:color="auto"/>
          </w:divBdr>
        </w:div>
        <w:div w:id="2022539131">
          <w:marLeft w:val="1080"/>
          <w:marRight w:val="0"/>
          <w:marTop w:val="100"/>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635985065">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694579631">
      <w:bodyDiv w:val="1"/>
      <w:marLeft w:val="0"/>
      <w:marRight w:val="0"/>
      <w:marTop w:val="0"/>
      <w:marBottom w:val="0"/>
      <w:divBdr>
        <w:top w:val="none" w:sz="0" w:space="0" w:color="auto"/>
        <w:left w:val="none" w:sz="0" w:space="0" w:color="auto"/>
        <w:bottom w:val="none" w:sz="0" w:space="0" w:color="auto"/>
        <w:right w:val="none" w:sz="0" w:space="0" w:color="auto"/>
      </w:divBdr>
      <w:divsChild>
        <w:div w:id="401832019">
          <w:marLeft w:val="547"/>
          <w:marRight w:val="0"/>
          <w:marTop w:val="96"/>
          <w:marBottom w:val="0"/>
          <w:divBdr>
            <w:top w:val="none" w:sz="0" w:space="0" w:color="auto"/>
            <w:left w:val="none" w:sz="0" w:space="0" w:color="auto"/>
            <w:bottom w:val="none" w:sz="0" w:space="0" w:color="auto"/>
            <w:right w:val="none" w:sz="0" w:space="0" w:color="auto"/>
          </w:divBdr>
        </w:div>
        <w:div w:id="627056021">
          <w:marLeft w:val="1166"/>
          <w:marRight w:val="0"/>
          <w:marTop w:val="96"/>
          <w:marBottom w:val="0"/>
          <w:divBdr>
            <w:top w:val="none" w:sz="0" w:space="0" w:color="auto"/>
            <w:left w:val="none" w:sz="0" w:space="0" w:color="auto"/>
            <w:bottom w:val="none" w:sz="0" w:space="0" w:color="auto"/>
            <w:right w:val="none" w:sz="0" w:space="0" w:color="auto"/>
          </w:divBdr>
        </w:div>
        <w:div w:id="1365136367">
          <w:marLeft w:val="1166"/>
          <w:marRight w:val="0"/>
          <w:marTop w:val="96"/>
          <w:marBottom w:val="0"/>
          <w:divBdr>
            <w:top w:val="none" w:sz="0" w:space="0" w:color="auto"/>
            <w:left w:val="none" w:sz="0" w:space="0" w:color="auto"/>
            <w:bottom w:val="none" w:sz="0" w:space="0" w:color="auto"/>
            <w:right w:val="none" w:sz="0" w:space="0" w:color="auto"/>
          </w:divBdr>
        </w:div>
      </w:divsChild>
    </w:div>
    <w:div w:id="743114428">
      <w:bodyDiv w:val="1"/>
      <w:marLeft w:val="0"/>
      <w:marRight w:val="0"/>
      <w:marTop w:val="0"/>
      <w:marBottom w:val="0"/>
      <w:divBdr>
        <w:top w:val="none" w:sz="0" w:space="0" w:color="auto"/>
        <w:left w:val="none" w:sz="0" w:space="0" w:color="auto"/>
        <w:bottom w:val="none" w:sz="0" w:space="0" w:color="auto"/>
        <w:right w:val="none" w:sz="0" w:space="0" w:color="auto"/>
      </w:divBdr>
      <w:divsChild>
        <w:div w:id="581108704">
          <w:marLeft w:val="360"/>
          <w:marRight w:val="0"/>
          <w:marTop w:val="20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87435598">
      <w:bodyDiv w:val="1"/>
      <w:marLeft w:val="0"/>
      <w:marRight w:val="0"/>
      <w:marTop w:val="0"/>
      <w:marBottom w:val="0"/>
      <w:divBdr>
        <w:top w:val="none" w:sz="0" w:space="0" w:color="auto"/>
        <w:left w:val="none" w:sz="0" w:space="0" w:color="auto"/>
        <w:bottom w:val="none" w:sz="0" w:space="0" w:color="auto"/>
        <w:right w:val="none" w:sz="0" w:space="0" w:color="auto"/>
      </w:divBdr>
      <w:divsChild>
        <w:div w:id="93092902">
          <w:marLeft w:val="1080"/>
          <w:marRight w:val="0"/>
          <w:marTop w:val="100"/>
          <w:marBottom w:val="0"/>
          <w:divBdr>
            <w:top w:val="none" w:sz="0" w:space="0" w:color="auto"/>
            <w:left w:val="none" w:sz="0" w:space="0" w:color="auto"/>
            <w:bottom w:val="none" w:sz="0" w:space="0" w:color="auto"/>
            <w:right w:val="none" w:sz="0" w:space="0" w:color="auto"/>
          </w:divBdr>
        </w:div>
        <w:div w:id="323315775">
          <w:marLeft w:val="2520"/>
          <w:marRight w:val="0"/>
          <w:marTop w:val="100"/>
          <w:marBottom w:val="0"/>
          <w:divBdr>
            <w:top w:val="none" w:sz="0" w:space="0" w:color="auto"/>
            <w:left w:val="none" w:sz="0" w:space="0" w:color="auto"/>
            <w:bottom w:val="none" w:sz="0" w:space="0" w:color="auto"/>
            <w:right w:val="none" w:sz="0" w:space="0" w:color="auto"/>
          </w:divBdr>
        </w:div>
        <w:div w:id="765657893">
          <w:marLeft w:val="2520"/>
          <w:marRight w:val="0"/>
          <w:marTop w:val="100"/>
          <w:marBottom w:val="0"/>
          <w:divBdr>
            <w:top w:val="none" w:sz="0" w:space="0" w:color="auto"/>
            <w:left w:val="none" w:sz="0" w:space="0" w:color="auto"/>
            <w:bottom w:val="none" w:sz="0" w:space="0" w:color="auto"/>
            <w:right w:val="none" w:sz="0" w:space="0" w:color="auto"/>
          </w:divBdr>
        </w:div>
        <w:div w:id="842933828">
          <w:marLeft w:val="2520"/>
          <w:marRight w:val="0"/>
          <w:marTop w:val="100"/>
          <w:marBottom w:val="0"/>
          <w:divBdr>
            <w:top w:val="none" w:sz="0" w:space="0" w:color="auto"/>
            <w:left w:val="none" w:sz="0" w:space="0" w:color="auto"/>
            <w:bottom w:val="none" w:sz="0" w:space="0" w:color="auto"/>
            <w:right w:val="none" w:sz="0" w:space="0" w:color="auto"/>
          </w:divBdr>
        </w:div>
        <w:div w:id="1075131392">
          <w:marLeft w:val="1080"/>
          <w:marRight w:val="0"/>
          <w:marTop w:val="100"/>
          <w:marBottom w:val="0"/>
          <w:divBdr>
            <w:top w:val="none" w:sz="0" w:space="0" w:color="auto"/>
            <w:left w:val="none" w:sz="0" w:space="0" w:color="auto"/>
            <w:bottom w:val="none" w:sz="0" w:space="0" w:color="auto"/>
            <w:right w:val="none" w:sz="0" w:space="0" w:color="auto"/>
          </w:divBdr>
        </w:div>
        <w:div w:id="1349717152">
          <w:marLeft w:val="1800"/>
          <w:marRight w:val="0"/>
          <w:marTop w:val="100"/>
          <w:marBottom w:val="0"/>
          <w:divBdr>
            <w:top w:val="none" w:sz="0" w:space="0" w:color="auto"/>
            <w:left w:val="none" w:sz="0" w:space="0" w:color="auto"/>
            <w:bottom w:val="none" w:sz="0" w:space="0" w:color="auto"/>
            <w:right w:val="none" w:sz="0" w:space="0" w:color="auto"/>
          </w:divBdr>
        </w:div>
        <w:div w:id="1583686217">
          <w:marLeft w:val="1800"/>
          <w:marRight w:val="0"/>
          <w:marTop w:val="100"/>
          <w:marBottom w:val="0"/>
          <w:divBdr>
            <w:top w:val="none" w:sz="0" w:space="0" w:color="auto"/>
            <w:left w:val="none" w:sz="0" w:space="0" w:color="auto"/>
            <w:bottom w:val="none" w:sz="0" w:space="0" w:color="auto"/>
            <w:right w:val="none" w:sz="0" w:space="0" w:color="auto"/>
          </w:divBdr>
        </w:div>
      </w:divsChild>
    </w:div>
    <w:div w:id="816537132">
      <w:bodyDiv w:val="1"/>
      <w:marLeft w:val="0"/>
      <w:marRight w:val="0"/>
      <w:marTop w:val="0"/>
      <w:marBottom w:val="0"/>
      <w:divBdr>
        <w:top w:val="none" w:sz="0" w:space="0" w:color="auto"/>
        <w:left w:val="none" w:sz="0" w:space="0" w:color="auto"/>
        <w:bottom w:val="none" w:sz="0" w:space="0" w:color="auto"/>
        <w:right w:val="none" w:sz="0" w:space="0" w:color="auto"/>
      </w:divBdr>
      <w:divsChild>
        <w:div w:id="930234915">
          <w:marLeft w:val="1166"/>
          <w:marRight w:val="0"/>
          <w:marTop w:val="96"/>
          <w:marBottom w:val="0"/>
          <w:divBdr>
            <w:top w:val="none" w:sz="0" w:space="0" w:color="auto"/>
            <w:left w:val="none" w:sz="0" w:space="0" w:color="auto"/>
            <w:bottom w:val="none" w:sz="0" w:space="0" w:color="auto"/>
            <w:right w:val="none" w:sz="0" w:space="0" w:color="auto"/>
          </w:divBdr>
        </w:div>
        <w:div w:id="2029477339">
          <w:marLeft w:val="1166"/>
          <w:marRight w:val="0"/>
          <w:marTop w:val="96"/>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904604502">
      <w:bodyDiv w:val="1"/>
      <w:marLeft w:val="0"/>
      <w:marRight w:val="0"/>
      <w:marTop w:val="0"/>
      <w:marBottom w:val="0"/>
      <w:divBdr>
        <w:top w:val="none" w:sz="0" w:space="0" w:color="auto"/>
        <w:left w:val="none" w:sz="0" w:space="0" w:color="auto"/>
        <w:bottom w:val="none" w:sz="0" w:space="0" w:color="auto"/>
        <w:right w:val="none" w:sz="0" w:space="0" w:color="auto"/>
      </w:divBdr>
    </w:div>
    <w:div w:id="967395817">
      <w:bodyDiv w:val="1"/>
      <w:marLeft w:val="0"/>
      <w:marRight w:val="0"/>
      <w:marTop w:val="0"/>
      <w:marBottom w:val="0"/>
      <w:divBdr>
        <w:top w:val="none" w:sz="0" w:space="0" w:color="auto"/>
        <w:left w:val="none" w:sz="0" w:space="0" w:color="auto"/>
        <w:bottom w:val="none" w:sz="0" w:space="0" w:color="auto"/>
        <w:right w:val="none" w:sz="0" w:space="0" w:color="auto"/>
      </w:divBdr>
      <w:divsChild>
        <w:div w:id="65149285">
          <w:marLeft w:val="547"/>
          <w:marRight w:val="0"/>
          <w:marTop w:val="86"/>
          <w:marBottom w:val="0"/>
          <w:divBdr>
            <w:top w:val="none" w:sz="0" w:space="0" w:color="auto"/>
            <w:left w:val="none" w:sz="0" w:space="0" w:color="auto"/>
            <w:bottom w:val="none" w:sz="0" w:space="0" w:color="auto"/>
            <w:right w:val="none" w:sz="0" w:space="0" w:color="auto"/>
          </w:divBdr>
        </w:div>
        <w:div w:id="216210026">
          <w:marLeft w:val="2520"/>
          <w:marRight w:val="0"/>
          <w:marTop w:val="86"/>
          <w:marBottom w:val="0"/>
          <w:divBdr>
            <w:top w:val="none" w:sz="0" w:space="0" w:color="auto"/>
            <w:left w:val="none" w:sz="0" w:space="0" w:color="auto"/>
            <w:bottom w:val="none" w:sz="0" w:space="0" w:color="auto"/>
            <w:right w:val="none" w:sz="0" w:space="0" w:color="auto"/>
          </w:divBdr>
        </w:div>
        <w:div w:id="299380741">
          <w:marLeft w:val="2520"/>
          <w:marRight w:val="0"/>
          <w:marTop w:val="86"/>
          <w:marBottom w:val="0"/>
          <w:divBdr>
            <w:top w:val="none" w:sz="0" w:space="0" w:color="auto"/>
            <w:left w:val="none" w:sz="0" w:space="0" w:color="auto"/>
            <w:bottom w:val="none" w:sz="0" w:space="0" w:color="auto"/>
            <w:right w:val="none" w:sz="0" w:space="0" w:color="auto"/>
          </w:divBdr>
        </w:div>
        <w:div w:id="554970271">
          <w:marLeft w:val="2520"/>
          <w:marRight w:val="0"/>
          <w:marTop w:val="86"/>
          <w:marBottom w:val="0"/>
          <w:divBdr>
            <w:top w:val="none" w:sz="0" w:space="0" w:color="auto"/>
            <w:left w:val="none" w:sz="0" w:space="0" w:color="auto"/>
            <w:bottom w:val="none" w:sz="0" w:space="0" w:color="auto"/>
            <w:right w:val="none" w:sz="0" w:space="0" w:color="auto"/>
          </w:divBdr>
        </w:div>
        <w:div w:id="1276016369">
          <w:marLeft w:val="1166"/>
          <w:marRight w:val="0"/>
          <w:marTop w:val="86"/>
          <w:marBottom w:val="0"/>
          <w:divBdr>
            <w:top w:val="none" w:sz="0" w:space="0" w:color="auto"/>
            <w:left w:val="none" w:sz="0" w:space="0" w:color="auto"/>
            <w:bottom w:val="none" w:sz="0" w:space="0" w:color="auto"/>
            <w:right w:val="none" w:sz="0" w:space="0" w:color="auto"/>
          </w:divBdr>
        </w:div>
        <w:div w:id="1471289614">
          <w:marLeft w:val="2520"/>
          <w:marRight w:val="0"/>
          <w:marTop w:val="86"/>
          <w:marBottom w:val="0"/>
          <w:divBdr>
            <w:top w:val="none" w:sz="0" w:space="0" w:color="auto"/>
            <w:left w:val="none" w:sz="0" w:space="0" w:color="auto"/>
            <w:bottom w:val="none" w:sz="0" w:space="0" w:color="auto"/>
            <w:right w:val="none" w:sz="0" w:space="0" w:color="auto"/>
          </w:divBdr>
        </w:div>
        <w:div w:id="1501116210">
          <w:marLeft w:val="2520"/>
          <w:marRight w:val="0"/>
          <w:marTop w:val="86"/>
          <w:marBottom w:val="0"/>
          <w:divBdr>
            <w:top w:val="none" w:sz="0" w:space="0" w:color="auto"/>
            <w:left w:val="none" w:sz="0" w:space="0" w:color="auto"/>
            <w:bottom w:val="none" w:sz="0" w:space="0" w:color="auto"/>
            <w:right w:val="none" w:sz="0" w:space="0" w:color="auto"/>
          </w:divBdr>
        </w:div>
        <w:div w:id="1575049916">
          <w:marLeft w:val="1800"/>
          <w:marRight w:val="0"/>
          <w:marTop w:val="86"/>
          <w:marBottom w:val="0"/>
          <w:divBdr>
            <w:top w:val="none" w:sz="0" w:space="0" w:color="auto"/>
            <w:left w:val="none" w:sz="0" w:space="0" w:color="auto"/>
            <w:bottom w:val="none" w:sz="0" w:space="0" w:color="auto"/>
            <w:right w:val="none" w:sz="0" w:space="0" w:color="auto"/>
          </w:divBdr>
        </w:div>
        <w:div w:id="1594822812">
          <w:marLeft w:val="1800"/>
          <w:marRight w:val="0"/>
          <w:marTop w:val="86"/>
          <w:marBottom w:val="0"/>
          <w:divBdr>
            <w:top w:val="none" w:sz="0" w:space="0" w:color="auto"/>
            <w:left w:val="none" w:sz="0" w:space="0" w:color="auto"/>
            <w:bottom w:val="none" w:sz="0" w:space="0" w:color="auto"/>
            <w:right w:val="none" w:sz="0" w:space="0" w:color="auto"/>
          </w:divBdr>
        </w:div>
        <w:div w:id="1964648998">
          <w:marLeft w:val="1800"/>
          <w:marRight w:val="0"/>
          <w:marTop w:val="86"/>
          <w:marBottom w:val="0"/>
          <w:divBdr>
            <w:top w:val="none" w:sz="0" w:space="0" w:color="auto"/>
            <w:left w:val="none" w:sz="0" w:space="0" w:color="auto"/>
            <w:bottom w:val="none" w:sz="0" w:space="0" w:color="auto"/>
            <w:right w:val="none" w:sz="0" w:space="0" w:color="auto"/>
          </w:divBdr>
        </w:div>
        <w:div w:id="1972320700">
          <w:marLeft w:val="1166"/>
          <w:marRight w:val="0"/>
          <w:marTop w:val="86"/>
          <w:marBottom w:val="0"/>
          <w:divBdr>
            <w:top w:val="none" w:sz="0" w:space="0" w:color="auto"/>
            <w:left w:val="none" w:sz="0" w:space="0" w:color="auto"/>
            <w:bottom w:val="none" w:sz="0" w:space="0" w:color="auto"/>
            <w:right w:val="none" w:sz="0" w:space="0" w:color="auto"/>
          </w:divBdr>
        </w:div>
        <w:div w:id="1987589219">
          <w:marLeft w:val="1800"/>
          <w:marRight w:val="0"/>
          <w:marTop w:val="8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1143308106">
      <w:bodyDiv w:val="1"/>
      <w:marLeft w:val="0"/>
      <w:marRight w:val="0"/>
      <w:marTop w:val="0"/>
      <w:marBottom w:val="0"/>
      <w:divBdr>
        <w:top w:val="none" w:sz="0" w:space="0" w:color="auto"/>
        <w:left w:val="none" w:sz="0" w:space="0" w:color="auto"/>
        <w:bottom w:val="none" w:sz="0" w:space="0" w:color="auto"/>
        <w:right w:val="none" w:sz="0" w:space="0" w:color="auto"/>
      </w:divBdr>
    </w:div>
    <w:div w:id="1165707938">
      <w:bodyDiv w:val="1"/>
      <w:marLeft w:val="0"/>
      <w:marRight w:val="0"/>
      <w:marTop w:val="0"/>
      <w:marBottom w:val="0"/>
      <w:divBdr>
        <w:top w:val="none" w:sz="0" w:space="0" w:color="auto"/>
        <w:left w:val="none" w:sz="0" w:space="0" w:color="auto"/>
        <w:bottom w:val="none" w:sz="0" w:space="0" w:color="auto"/>
        <w:right w:val="none" w:sz="0" w:space="0" w:color="auto"/>
      </w:divBdr>
      <w:divsChild>
        <w:div w:id="265382454">
          <w:marLeft w:val="360"/>
          <w:marRight w:val="0"/>
          <w:marTop w:val="200"/>
          <w:marBottom w:val="0"/>
          <w:divBdr>
            <w:top w:val="none" w:sz="0" w:space="0" w:color="auto"/>
            <w:left w:val="none" w:sz="0" w:space="0" w:color="auto"/>
            <w:bottom w:val="none" w:sz="0" w:space="0" w:color="auto"/>
            <w:right w:val="none" w:sz="0" w:space="0" w:color="auto"/>
          </w:divBdr>
        </w:div>
      </w:divsChild>
    </w:div>
    <w:div w:id="1207447093">
      <w:bodyDiv w:val="1"/>
      <w:marLeft w:val="0"/>
      <w:marRight w:val="0"/>
      <w:marTop w:val="0"/>
      <w:marBottom w:val="0"/>
      <w:divBdr>
        <w:top w:val="none" w:sz="0" w:space="0" w:color="auto"/>
        <w:left w:val="none" w:sz="0" w:space="0" w:color="auto"/>
        <w:bottom w:val="none" w:sz="0" w:space="0" w:color="auto"/>
        <w:right w:val="none" w:sz="0" w:space="0" w:color="auto"/>
      </w:divBdr>
      <w:divsChild>
        <w:div w:id="1644191859">
          <w:marLeft w:val="547"/>
          <w:marRight w:val="0"/>
          <w:marTop w:val="86"/>
          <w:marBottom w:val="0"/>
          <w:divBdr>
            <w:top w:val="none" w:sz="0" w:space="0" w:color="auto"/>
            <w:left w:val="none" w:sz="0" w:space="0" w:color="auto"/>
            <w:bottom w:val="none" w:sz="0" w:space="0" w:color="auto"/>
            <w:right w:val="none" w:sz="0" w:space="0" w:color="auto"/>
          </w:divBdr>
        </w:div>
      </w:divsChild>
    </w:div>
    <w:div w:id="1209535945">
      <w:bodyDiv w:val="1"/>
      <w:marLeft w:val="0"/>
      <w:marRight w:val="0"/>
      <w:marTop w:val="0"/>
      <w:marBottom w:val="0"/>
      <w:divBdr>
        <w:top w:val="none" w:sz="0" w:space="0" w:color="auto"/>
        <w:left w:val="none" w:sz="0" w:space="0" w:color="auto"/>
        <w:bottom w:val="none" w:sz="0" w:space="0" w:color="auto"/>
        <w:right w:val="none" w:sz="0" w:space="0" w:color="auto"/>
      </w:divBdr>
      <w:divsChild>
        <w:div w:id="158468627">
          <w:marLeft w:val="1080"/>
          <w:marRight w:val="0"/>
          <w:marTop w:val="100"/>
          <w:marBottom w:val="0"/>
          <w:divBdr>
            <w:top w:val="none" w:sz="0" w:space="0" w:color="auto"/>
            <w:left w:val="none" w:sz="0" w:space="0" w:color="auto"/>
            <w:bottom w:val="none" w:sz="0" w:space="0" w:color="auto"/>
            <w:right w:val="none" w:sz="0" w:space="0" w:color="auto"/>
          </w:divBdr>
        </w:div>
        <w:div w:id="367266452">
          <w:marLeft w:val="1800"/>
          <w:marRight w:val="0"/>
          <w:marTop w:val="100"/>
          <w:marBottom w:val="0"/>
          <w:divBdr>
            <w:top w:val="none" w:sz="0" w:space="0" w:color="auto"/>
            <w:left w:val="none" w:sz="0" w:space="0" w:color="auto"/>
            <w:bottom w:val="none" w:sz="0" w:space="0" w:color="auto"/>
            <w:right w:val="none" w:sz="0" w:space="0" w:color="auto"/>
          </w:divBdr>
        </w:div>
        <w:div w:id="548880848">
          <w:marLeft w:val="1080"/>
          <w:marRight w:val="0"/>
          <w:marTop w:val="100"/>
          <w:marBottom w:val="0"/>
          <w:divBdr>
            <w:top w:val="none" w:sz="0" w:space="0" w:color="auto"/>
            <w:left w:val="none" w:sz="0" w:space="0" w:color="auto"/>
            <w:bottom w:val="none" w:sz="0" w:space="0" w:color="auto"/>
            <w:right w:val="none" w:sz="0" w:space="0" w:color="auto"/>
          </w:divBdr>
        </w:div>
        <w:div w:id="1110123639">
          <w:marLeft w:val="2520"/>
          <w:marRight w:val="0"/>
          <w:marTop w:val="100"/>
          <w:marBottom w:val="0"/>
          <w:divBdr>
            <w:top w:val="none" w:sz="0" w:space="0" w:color="auto"/>
            <w:left w:val="none" w:sz="0" w:space="0" w:color="auto"/>
            <w:bottom w:val="none" w:sz="0" w:space="0" w:color="auto"/>
            <w:right w:val="none" w:sz="0" w:space="0" w:color="auto"/>
          </w:divBdr>
        </w:div>
        <w:div w:id="1261137626">
          <w:marLeft w:val="1800"/>
          <w:marRight w:val="0"/>
          <w:marTop w:val="100"/>
          <w:marBottom w:val="0"/>
          <w:divBdr>
            <w:top w:val="none" w:sz="0" w:space="0" w:color="auto"/>
            <w:left w:val="none" w:sz="0" w:space="0" w:color="auto"/>
            <w:bottom w:val="none" w:sz="0" w:space="0" w:color="auto"/>
            <w:right w:val="none" w:sz="0" w:space="0" w:color="auto"/>
          </w:divBdr>
        </w:div>
        <w:div w:id="1342468933">
          <w:marLeft w:val="360"/>
          <w:marRight w:val="0"/>
          <w:marTop w:val="200"/>
          <w:marBottom w:val="0"/>
          <w:divBdr>
            <w:top w:val="none" w:sz="0" w:space="0" w:color="auto"/>
            <w:left w:val="none" w:sz="0" w:space="0" w:color="auto"/>
            <w:bottom w:val="none" w:sz="0" w:space="0" w:color="auto"/>
            <w:right w:val="none" w:sz="0" w:space="0" w:color="auto"/>
          </w:divBdr>
        </w:div>
        <w:div w:id="2000503766">
          <w:marLeft w:val="1800"/>
          <w:marRight w:val="0"/>
          <w:marTop w:val="100"/>
          <w:marBottom w:val="0"/>
          <w:divBdr>
            <w:top w:val="none" w:sz="0" w:space="0" w:color="auto"/>
            <w:left w:val="none" w:sz="0" w:space="0" w:color="auto"/>
            <w:bottom w:val="none" w:sz="0" w:space="0" w:color="auto"/>
            <w:right w:val="none" w:sz="0" w:space="0" w:color="auto"/>
          </w:divBdr>
        </w:div>
      </w:divsChild>
    </w:div>
    <w:div w:id="1213233130">
      <w:bodyDiv w:val="1"/>
      <w:marLeft w:val="0"/>
      <w:marRight w:val="0"/>
      <w:marTop w:val="0"/>
      <w:marBottom w:val="0"/>
      <w:divBdr>
        <w:top w:val="none" w:sz="0" w:space="0" w:color="auto"/>
        <w:left w:val="none" w:sz="0" w:space="0" w:color="auto"/>
        <w:bottom w:val="none" w:sz="0" w:space="0" w:color="auto"/>
        <w:right w:val="none" w:sz="0" w:space="0" w:color="auto"/>
      </w:divBdr>
      <w:divsChild>
        <w:div w:id="94786993">
          <w:marLeft w:val="1080"/>
          <w:marRight w:val="0"/>
          <w:marTop w:val="100"/>
          <w:marBottom w:val="0"/>
          <w:divBdr>
            <w:top w:val="none" w:sz="0" w:space="0" w:color="auto"/>
            <w:left w:val="none" w:sz="0" w:space="0" w:color="auto"/>
            <w:bottom w:val="none" w:sz="0" w:space="0" w:color="auto"/>
            <w:right w:val="none" w:sz="0" w:space="0" w:color="auto"/>
          </w:divBdr>
        </w:div>
        <w:div w:id="125322087">
          <w:marLeft w:val="1080"/>
          <w:marRight w:val="0"/>
          <w:marTop w:val="100"/>
          <w:marBottom w:val="0"/>
          <w:divBdr>
            <w:top w:val="none" w:sz="0" w:space="0" w:color="auto"/>
            <w:left w:val="none" w:sz="0" w:space="0" w:color="auto"/>
            <w:bottom w:val="none" w:sz="0" w:space="0" w:color="auto"/>
            <w:right w:val="none" w:sz="0" w:space="0" w:color="auto"/>
          </w:divBdr>
        </w:div>
        <w:div w:id="134565202">
          <w:marLeft w:val="2520"/>
          <w:marRight w:val="0"/>
          <w:marTop w:val="100"/>
          <w:marBottom w:val="0"/>
          <w:divBdr>
            <w:top w:val="none" w:sz="0" w:space="0" w:color="auto"/>
            <w:left w:val="none" w:sz="0" w:space="0" w:color="auto"/>
            <w:bottom w:val="none" w:sz="0" w:space="0" w:color="auto"/>
            <w:right w:val="none" w:sz="0" w:space="0" w:color="auto"/>
          </w:divBdr>
        </w:div>
        <w:div w:id="514804734">
          <w:marLeft w:val="2520"/>
          <w:marRight w:val="0"/>
          <w:marTop w:val="100"/>
          <w:marBottom w:val="0"/>
          <w:divBdr>
            <w:top w:val="none" w:sz="0" w:space="0" w:color="auto"/>
            <w:left w:val="none" w:sz="0" w:space="0" w:color="auto"/>
            <w:bottom w:val="none" w:sz="0" w:space="0" w:color="auto"/>
            <w:right w:val="none" w:sz="0" w:space="0" w:color="auto"/>
          </w:divBdr>
        </w:div>
        <w:div w:id="584607636">
          <w:marLeft w:val="2520"/>
          <w:marRight w:val="0"/>
          <w:marTop w:val="100"/>
          <w:marBottom w:val="0"/>
          <w:divBdr>
            <w:top w:val="none" w:sz="0" w:space="0" w:color="auto"/>
            <w:left w:val="none" w:sz="0" w:space="0" w:color="auto"/>
            <w:bottom w:val="none" w:sz="0" w:space="0" w:color="auto"/>
            <w:right w:val="none" w:sz="0" w:space="0" w:color="auto"/>
          </w:divBdr>
        </w:div>
        <w:div w:id="806431965">
          <w:marLeft w:val="1800"/>
          <w:marRight w:val="0"/>
          <w:marTop w:val="100"/>
          <w:marBottom w:val="0"/>
          <w:divBdr>
            <w:top w:val="none" w:sz="0" w:space="0" w:color="auto"/>
            <w:left w:val="none" w:sz="0" w:space="0" w:color="auto"/>
            <w:bottom w:val="none" w:sz="0" w:space="0" w:color="auto"/>
            <w:right w:val="none" w:sz="0" w:space="0" w:color="auto"/>
          </w:divBdr>
        </w:div>
        <w:div w:id="872771534">
          <w:marLeft w:val="1800"/>
          <w:marRight w:val="0"/>
          <w:marTop w:val="100"/>
          <w:marBottom w:val="0"/>
          <w:divBdr>
            <w:top w:val="none" w:sz="0" w:space="0" w:color="auto"/>
            <w:left w:val="none" w:sz="0" w:space="0" w:color="auto"/>
            <w:bottom w:val="none" w:sz="0" w:space="0" w:color="auto"/>
            <w:right w:val="none" w:sz="0" w:space="0" w:color="auto"/>
          </w:divBdr>
        </w:div>
        <w:div w:id="986279189">
          <w:marLeft w:val="1800"/>
          <w:marRight w:val="0"/>
          <w:marTop w:val="100"/>
          <w:marBottom w:val="0"/>
          <w:divBdr>
            <w:top w:val="none" w:sz="0" w:space="0" w:color="auto"/>
            <w:left w:val="none" w:sz="0" w:space="0" w:color="auto"/>
            <w:bottom w:val="none" w:sz="0" w:space="0" w:color="auto"/>
            <w:right w:val="none" w:sz="0" w:space="0" w:color="auto"/>
          </w:divBdr>
        </w:div>
        <w:div w:id="986664900">
          <w:marLeft w:val="1800"/>
          <w:marRight w:val="0"/>
          <w:marTop w:val="100"/>
          <w:marBottom w:val="0"/>
          <w:divBdr>
            <w:top w:val="none" w:sz="0" w:space="0" w:color="auto"/>
            <w:left w:val="none" w:sz="0" w:space="0" w:color="auto"/>
            <w:bottom w:val="none" w:sz="0" w:space="0" w:color="auto"/>
            <w:right w:val="none" w:sz="0" w:space="0" w:color="auto"/>
          </w:divBdr>
        </w:div>
        <w:div w:id="1119185057">
          <w:marLeft w:val="2520"/>
          <w:marRight w:val="0"/>
          <w:marTop w:val="100"/>
          <w:marBottom w:val="0"/>
          <w:divBdr>
            <w:top w:val="none" w:sz="0" w:space="0" w:color="auto"/>
            <w:left w:val="none" w:sz="0" w:space="0" w:color="auto"/>
            <w:bottom w:val="none" w:sz="0" w:space="0" w:color="auto"/>
            <w:right w:val="none" w:sz="0" w:space="0" w:color="auto"/>
          </w:divBdr>
        </w:div>
        <w:div w:id="1499154475">
          <w:marLeft w:val="1800"/>
          <w:marRight w:val="0"/>
          <w:marTop w:val="100"/>
          <w:marBottom w:val="0"/>
          <w:divBdr>
            <w:top w:val="none" w:sz="0" w:space="0" w:color="auto"/>
            <w:left w:val="none" w:sz="0" w:space="0" w:color="auto"/>
            <w:bottom w:val="none" w:sz="0" w:space="0" w:color="auto"/>
            <w:right w:val="none" w:sz="0" w:space="0" w:color="auto"/>
          </w:divBdr>
        </w:div>
        <w:div w:id="1995261050">
          <w:marLeft w:val="2520"/>
          <w:marRight w:val="0"/>
          <w:marTop w:val="100"/>
          <w:marBottom w:val="0"/>
          <w:divBdr>
            <w:top w:val="none" w:sz="0" w:space="0" w:color="auto"/>
            <w:left w:val="none" w:sz="0" w:space="0" w:color="auto"/>
            <w:bottom w:val="none" w:sz="0" w:space="0" w:color="auto"/>
            <w:right w:val="none" w:sz="0" w:space="0" w:color="auto"/>
          </w:divBdr>
        </w:div>
        <w:div w:id="2041590379">
          <w:marLeft w:val="1800"/>
          <w:marRight w:val="0"/>
          <w:marTop w:val="100"/>
          <w:marBottom w:val="0"/>
          <w:divBdr>
            <w:top w:val="none" w:sz="0" w:space="0" w:color="auto"/>
            <w:left w:val="none" w:sz="0" w:space="0" w:color="auto"/>
            <w:bottom w:val="none" w:sz="0" w:space="0" w:color="auto"/>
            <w:right w:val="none" w:sz="0" w:space="0" w:color="auto"/>
          </w:divBdr>
        </w:div>
        <w:div w:id="2082020365">
          <w:marLeft w:val="2520"/>
          <w:marRight w:val="0"/>
          <w:marTop w:val="100"/>
          <w:marBottom w:val="0"/>
          <w:divBdr>
            <w:top w:val="none" w:sz="0" w:space="0" w:color="auto"/>
            <w:left w:val="none" w:sz="0" w:space="0" w:color="auto"/>
            <w:bottom w:val="none" w:sz="0" w:space="0" w:color="auto"/>
            <w:right w:val="none" w:sz="0" w:space="0" w:color="auto"/>
          </w:divBdr>
        </w:div>
      </w:divsChild>
    </w:div>
    <w:div w:id="1307130140">
      <w:bodyDiv w:val="1"/>
      <w:marLeft w:val="0"/>
      <w:marRight w:val="0"/>
      <w:marTop w:val="0"/>
      <w:marBottom w:val="0"/>
      <w:divBdr>
        <w:top w:val="none" w:sz="0" w:space="0" w:color="auto"/>
        <w:left w:val="none" w:sz="0" w:space="0" w:color="auto"/>
        <w:bottom w:val="none" w:sz="0" w:space="0" w:color="auto"/>
        <w:right w:val="none" w:sz="0" w:space="0" w:color="auto"/>
      </w:divBdr>
      <w:divsChild>
        <w:div w:id="2138719038">
          <w:marLeft w:val="360"/>
          <w:marRight w:val="0"/>
          <w:marTop w:val="2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44942388">
      <w:bodyDiv w:val="1"/>
      <w:marLeft w:val="0"/>
      <w:marRight w:val="0"/>
      <w:marTop w:val="0"/>
      <w:marBottom w:val="0"/>
      <w:divBdr>
        <w:top w:val="none" w:sz="0" w:space="0" w:color="auto"/>
        <w:left w:val="none" w:sz="0" w:space="0" w:color="auto"/>
        <w:bottom w:val="none" w:sz="0" w:space="0" w:color="auto"/>
        <w:right w:val="none" w:sz="0" w:space="0" w:color="auto"/>
      </w:divBdr>
      <w:divsChild>
        <w:div w:id="8602815">
          <w:marLeft w:val="2520"/>
          <w:marRight w:val="0"/>
          <w:marTop w:val="100"/>
          <w:marBottom w:val="0"/>
          <w:divBdr>
            <w:top w:val="none" w:sz="0" w:space="0" w:color="auto"/>
            <w:left w:val="none" w:sz="0" w:space="0" w:color="auto"/>
            <w:bottom w:val="none" w:sz="0" w:space="0" w:color="auto"/>
            <w:right w:val="none" w:sz="0" w:space="0" w:color="auto"/>
          </w:divBdr>
        </w:div>
        <w:div w:id="55007491">
          <w:marLeft w:val="1080"/>
          <w:marRight w:val="0"/>
          <w:marTop w:val="100"/>
          <w:marBottom w:val="0"/>
          <w:divBdr>
            <w:top w:val="none" w:sz="0" w:space="0" w:color="auto"/>
            <w:left w:val="none" w:sz="0" w:space="0" w:color="auto"/>
            <w:bottom w:val="none" w:sz="0" w:space="0" w:color="auto"/>
            <w:right w:val="none" w:sz="0" w:space="0" w:color="auto"/>
          </w:divBdr>
        </w:div>
        <w:div w:id="275067172">
          <w:marLeft w:val="2520"/>
          <w:marRight w:val="0"/>
          <w:marTop w:val="100"/>
          <w:marBottom w:val="0"/>
          <w:divBdr>
            <w:top w:val="none" w:sz="0" w:space="0" w:color="auto"/>
            <w:left w:val="none" w:sz="0" w:space="0" w:color="auto"/>
            <w:bottom w:val="none" w:sz="0" w:space="0" w:color="auto"/>
            <w:right w:val="none" w:sz="0" w:space="0" w:color="auto"/>
          </w:divBdr>
        </w:div>
        <w:div w:id="299269018">
          <w:marLeft w:val="2520"/>
          <w:marRight w:val="0"/>
          <w:marTop w:val="100"/>
          <w:marBottom w:val="0"/>
          <w:divBdr>
            <w:top w:val="none" w:sz="0" w:space="0" w:color="auto"/>
            <w:left w:val="none" w:sz="0" w:space="0" w:color="auto"/>
            <w:bottom w:val="none" w:sz="0" w:space="0" w:color="auto"/>
            <w:right w:val="none" w:sz="0" w:space="0" w:color="auto"/>
          </w:divBdr>
        </w:div>
        <w:div w:id="304163312">
          <w:marLeft w:val="1800"/>
          <w:marRight w:val="0"/>
          <w:marTop w:val="100"/>
          <w:marBottom w:val="0"/>
          <w:divBdr>
            <w:top w:val="none" w:sz="0" w:space="0" w:color="auto"/>
            <w:left w:val="none" w:sz="0" w:space="0" w:color="auto"/>
            <w:bottom w:val="none" w:sz="0" w:space="0" w:color="auto"/>
            <w:right w:val="none" w:sz="0" w:space="0" w:color="auto"/>
          </w:divBdr>
        </w:div>
        <w:div w:id="423569813">
          <w:marLeft w:val="1080"/>
          <w:marRight w:val="0"/>
          <w:marTop w:val="100"/>
          <w:marBottom w:val="0"/>
          <w:divBdr>
            <w:top w:val="none" w:sz="0" w:space="0" w:color="auto"/>
            <w:left w:val="none" w:sz="0" w:space="0" w:color="auto"/>
            <w:bottom w:val="none" w:sz="0" w:space="0" w:color="auto"/>
            <w:right w:val="none" w:sz="0" w:space="0" w:color="auto"/>
          </w:divBdr>
        </w:div>
        <w:div w:id="814370436">
          <w:marLeft w:val="1080"/>
          <w:marRight w:val="0"/>
          <w:marTop w:val="100"/>
          <w:marBottom w:val="0"/>
          <w:divBdr>
            <w:top w:val="none" w:sz="0" w:space="0" w:color="auto"/>
            <w:left w:val="none" w:sz="0" w:space="0" w:color="auto"/>
            <w:bottom w:val="none" w:sz="0" w:space="0" w:color="auto"/>
            <w:right w:val="none" w:sz="0" w:space="0" w:color="auto"/>
          </w:divBdr>
        </w:div>
        <w:div w:id="921794765">
          <w:marLeft w:val="1800"/>
          <w:marRight w:val="0"/>
          <w:marTop w:val="100"/>
          <w:marBottom w:val="0"/>
          <w:divBdr>
            <w:top w:val="none" w:sz="0" w:space="0" w:color="auto"/>
            <w:left w:val="none" w:sz="0" w:space="0" w:color="auto"/>
            <w:bottom w:val="none" w:sz="0" w:space="0" w:color="auto"/>
            <w:right w:val="none" w:sz="0" w:space="0" w:color="auto"/>
          </w:divBdr>
        </w:div>
        <w:div w:id="1072000965">
          <w:marLeft w:val="2520"/>
          <w:marRight w:val="0"/>
          <w:marTop w:val="100"/>
          <w:marBottom w:val="0"/>
          <w:divBdr>
            <w:top w:val="none" w:sz="0" w:space="0" w:color="auto"/>
            <w:left w:val="none" w:sz="0" w:space="0" w:color="auto"/>
            <w:bottom w:val="none" w:sz="0" w:space="0" w:color="auto"/>
            <w:right w:val="none" w:sz="0" w:space="0" w:color="auto"/>
          </w:divBdr>
        </w:div>
        <w:div w:id="1589651283">
          <w:marLeft w:val="360"/>
          <w:marRight w:val="0"/>
          <w:marTop w:val="200"/>
          <w:marBottom w:val="0"/>
          <w:divBdr>
            <w:top w:val="none" w:sz="0" w:space="0" w:color="auto"/>
            <w:left w:val="none" w:sz="0" w:space="0" w:color="auto"/>
            <w:bottom w:val="none" w:sz="0" w:space="0" w:color="auto"/>
            <w:right w:val="none" w:sz="0" w:space="0" w:color="auto"/>
          </w:divBdr>
        </w:div>
        <w:div w:id="1637951377">
          <w:marLeft w:val="2520"/>
          <w:marRight w:val="0"/>
          <w:marTop w:val="100"/>
          <w:marBottom w:val="0"/>
          <w:divBdr>
            <w:top w:val="none" w:sz="0" w:space="0" w:color="auto"/>
            <w:left w:val="none" w:sz="0" w:space="0" w:color="auto"/>
            <w:bottom w:val="none" w:sz="0" w:space="0" w:color="auto"/>
            <w:right w:val="none" w:sz="0" w:space="0" w:color="auto"/>
          </w:divBdr>
        </w:div>
        <w:div w:id="1857234357">
          <w:marLeft w:val="2520"/>
          <w:marRight w:val="0"/>
          <w:marTop w:val="100"/>
          <w:marBottom w:val="0"/>
          <w:divBdr>
            <w:top w:val="none" w:sz="0" w:space="0" w:color="auto"/>
            <w:left w:val="none" w:sz="0" w:space="0" w:color="auto"/>
            <w:bottom w:val="none" w:sz="0" w:space="0" w:color="auto"/>
            <w:right w:val="none" w:sz="0" w:space="0" w:color="auto"/>
          </w:divBdr>
        </w:div>
        <w:div w:id="2067142630">
          <w:marLeft w:val="2520"/>
          <w:marRight w:val="0"/>
          <w:marTop w:val="100"/>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777943129">
      <w:bodyDiv w:val="1"/>
      <w:marLeft w:val="0"/>
      <w:marRight w:val="0"/>
      <w:marTop w:val="0"/>
      <w:marBottom w:val="0"/>
      <w:divBdr>
        <w:top w:val="none" w:sz="0" w:space="0" w:color="auto"/>
        <w:left w:val="none" w:sz="0" w:space="0" w:color="auto"/>
        <w:bottom w:val="none" w:sz="0" w:space="0" w:color="auto"/>
        <w:right w:val="none" w:sz="0" w:space="0" w:color="auto"/>
      </w:divBdr>
      <w:divsChild>
        <w:div w:id="1826823930">
          <w:marLeft w:val="547"/>
          <w:marRight w:val="0"/>
          <w:marTop w:val="96"/>
          <w:marBottom w:val="0"/>
          <w:divBdr>
            <w:top w:val="none" w:sz="0" w:space="0" w:color="auto"/>
            <w:left w:val="none" w:sz="0" w:space="0" w:color="auto"/>
            <w:bottom w:val="none" w:sz="0" w:space="0" w:color="auto"/>
            <w:right w:val="none" w:sz="0" w:space="0" w:color="auto"/>
          </w:divBdr>
        </w:div>
      </w:divsChild>
    </w:div>
    <w:div w:id="1821534823">
      <w:bodyDiv w:val="1"/>
      <w:marLeft w:val="0"/>
      <w:marRight w:val="0"/>
      <w:marTop w:val="0"/>
      <w:marBottom w:val="0"/>
      <w:divBdr>
        <w:top w:val="none" w:sz="0" w:space="0" w:color="auto"/>
        <w:left w:val="none" w:sz="0" w:space="0" w:color="auto"/>
        <w:bottom w:val="none" w:sz="0" w:space="0" w:color="auto"/>
        <w:right w:val="none" w:sz="0" w:space="0" w:color="auto"/>
      </w:divBdr>
      <w:divsChild>
        <w:div w:id="208999589">
          <w:marLeft w:val="547"/>
          <w:marRight w:val="0"/>
          <w:marTop w:val="86"/>
          <w:marBottom w:val="0"/>
          <w:divBdr>
            <w:top w:val="none" w:sz="0" w:space="0" w:color="auto"/>
            <w:left w:val="none" w:sz="0" w:space="0" w:color="auto"/>
            <w:bottom w:val="none" w:sz="0" w:space="0" w:color="auto"/>
            <w:right w:val="none" w:sz="0" w:space="0" w:color="auto"/>
          </w:divBdr>
        </w:div>
        <w:div w:id="326515837">
          <w:marLeft w:val="547"/>
          <w:marRight w:val="0"/>
          <w:marTop w:val="86"/>
          <w:marBottom w:val="0"/>
          <w:divBdr>
            <w:top w:val="none" w:sz="0" w:space="0" w:color="auto"/>
            <w:left w:val="none" w:sz="0" w:space="0" w:color="auto"/>
            <w:bottom w:val="none" w:sz="0" w:space="0" w:color="auto"/>
            <w:right w:val="none" w:sz="0" w:space="0" w:color="auto"/>
          </w:divBdr>
        </w:div>
        <w:div w:id="335039455">
          <w:marLeft w:val="547"/>
          <w:marRight w:val="0"/>
          <w:marTop w:val="86"/>
          <w:marBottom w:val="0"/>
          <w:divBdr>
            <w:top w:val="none" w:sz="0" w:space="0" w:color="auto"/>
            <w:left w:val="none" w:sz="0" w:space="0" w:color="auto"/>
            <w:bottom w:val="none" w:sz="0" w:space="0" w:color="auto"/>
            <w:right w:val="none" w:sz="0" w:space="0" w:color="auto"/>
          </w:divBdr>
        </w:div>
        <w:div w:id="421682877">
          <w:marLeft w:val="1166"/>
          <w:marRight w:val="0"/>
          <w:marTop w:val="86"/>
          <w:marBottom w:val="0"/>
          <w:divBdr>
            <w:top w:val="none" w:sz="0" w:space="0" w:color="auto"/>
            <w:left w:val="none" w:sz="0" w:space="0" w:color="auto"/>
            <w:bottom w:val="none" w:sz="0" w:space="0" w:color="auto"/>
            <w:right w:val="none" w:sz="0" w:space="0" w:color="auto"/>
          </w:divBdr>
        </w:div>
        <w:div w:id="788551908">
          <w:marLeft w:val="1166"/>
          <w:marRight w:val="0"/>
          <w:marTop w:val="86"/>
          <w:marBottom w:val="0"/>
          <w:divBdr>
            <w:top w:val="none" w:sz="0" w:space="0" w:color="auto"/>
            <w:left w:val="none" w:sz="0" w:space="0" w:color="auto"/>
            <w:bottom w:val="none" w:sz="0" w:space="0" w:color="auto"/>
            <w:right w:val="none" w:sz="0" w:space="0" w:color="auto"/>
          </w:divBdr>
        </w:div>
        <w:div w:id="951713825">
          <w:marLeft w:val="1166"/>
          <w:marRight w:val="0"/>
          <w:marTop w:val="86"/>
          <w:marBottom w:val="0"/>
          <w:divBdr>
            <w:top w:val="none" w:sz="0" w:space="0" w:color="auto"/>
            <w:left w:val="none" w:sz="0" w:space="0" w:color="auto"/>
            <w:bottom w:val="none" w:sz="0" w:space="0" w:color="auto"/>
            <w:right w:val="none" w:sz="0" w:space="0" w:color="auto"/>
          </w:divBdr>
        </w:div>
        <w:div w:id="1105540658">
          <w:marLeft w:val="1166"/>
          <w:marRight w:val="0"/>
          <w:marTop w:val="86"/>
          <w:marBottom w:val="0"/>
          <w:divBdr>
            <w:top w:val="none" w:sz="0" w:space="0" w:color="auto"/>
            <w:left w:val="none" w:sz="0" w:space="0" w:color="auto"/>
            <w:bottom w:val="none" w:sz="0" w:space="0" w:color="auto"/>
            <w:right w:val="none" w:sz="0" w:space="0" w:color="auto"/>
          </w:divBdr>
        </w:div>
        <w:div w:id="1211923432">
          <w:marLeft w:val="1166"/>
          <w:marRight w:val="0"/>
          <w:marTop w:val="86"/>
          <w:marBottom w:val="0"/>
          <w:divBdr>
            <w:top w:val="none" w:sz="0" w:space="0" w:color="auto"/>
            <w:left w:val="none" w:sz="0" w:space="0" w:color="auto"/>
            <w:bottom w:val="none" w:sz="0" w:space="0" w:color="auto"/>
            <w:right w:val="none" w:sz="0" w:space="0" w:color="auto"/>
          </w:divBdr>
        </w:div>
        <w:div w:id="1270963593">
          <w:marLeft w:val="547"/>
          <w:marRight w:val="0"/>
          <w:marTop w:val="86"/>
          <w:marBottom w:val="0"/>
          <w:divBdr>
            <w:top w:val="none" w:sz="0" w:space="0" w:color="auto"/>
            <w:left w:val="none" w:sz="0" w:space="0" w:color="auto"/>
            <w:bottom w:val="none" w:sz="0" w:space="0" w:color="auto"/>
            <w:right w:val="none" w:sz="0" w:space="0" w:color="auto"/>
          </w:divBdr>
        </w:div>
        <w:div w:id="1304432961">
          <w:marLeft w:val="1166"/>
          <w:marRight w:val="0"/>
          <w:marTop w:val="86"/>
          <w:marBottom w:val="0"/>
          <w:divBdr>
            <w:top w:val="none" w:sz="0" w:space="0" w:color="auto"/>
            <w:left w:val="none" w:sz="0" w:space="0" w:color="auto"/>
            <w:bottom w:val="none" w:sz="0" w:space="0" w:color="auto"/>
            <w:right w:val="none" w:sz="0" w:space="0" w:color="auto"/>
          </w:divBdr>
        </w:div>
        <w:div w:id="1563180100">
          <w:marLeft w:val="1166"/>
          <w:marRight w:val="0"/>
          <w:marTop w:val="86"/>
          <w:marBottom w:val="0"/>
          <w:divBdr>
            <w:top w:val="none" w:sz="0" w:space="0" w:color="auto"/>
            <w:left w:val="none" w:sz="0" w:space="0" w:color="auto"/>
            <w:bottom w:val="none" w:sz="0" w:space="0" w:color="auto"/>
            <w:right w:val="none" w:sz="0" w:space="0" w:color="auto"/>
          </w:divBdr>
        </w:div>
        <w:div w:id="2050451457">
          <w:marLeft w:val="1166"/>
          <w:marRight w:val="0"/>
          <w:marTop w:val="86"/>
          <w:marBottom w:val="0"/>
          <w:divBdr>
            <w:top w:val="none" w:sz="0" w:space="0" w:color="auto"/>
            <w:left w:val="none" w:sz="0" w:space="0" w:color="auto"/>
            <w:bottom w:val="none" w:sz="0" w:space="0" w:color="auto"/>
            <w:right w:val="none" w:sz="0" w:space="0" w:color="auto"/>
          </w:divBdr>
        </w:div>
        <w:div w:id="2104956122">
          <w:marLeft w:val="1166"/>
          <w:marRight w:val="0"/>
          <w:marTop w:val="86"/>
          <w:marBottom w:val="0"/>
          <w:divBdr>
            <w:top w:val="none" w:sz="0" w:space="0" w:color="auto"/>
            <w:left w:val="none" w:sz="0" w:space="0" w:color="auto"/>
            <w:bottom w:val="none" w:sz="0" w:space="0" w:color="auto"/>
            <w:right w:val="none" w:sz="0" w:space="0" w:color="auto"/>
          </w:divBdr>
        </w:div>
        <w:div w:id="2110194988">
          <w:marLeft w:val="1166"/>
          <w:marRight w:val="0"/>
          <w:marTop w:val="86"/>
          <w:marBottom w:val="0"/>
          <w:divBdr>
            <w:top w:val="none" w:sz="0" w:space="0" w:color="auto"/>
            <w:left w:val="none" w:sz="0" w:space="0" w:color="auto"/>
            <w:bottom w:val="none" w:sz="0" w:space="0" w:color="auto"/>
            <w:right w:val="none" w:sz="0" w:space="0" w:color="auto"/>
          </w:divBdr>
        </w:div>
      </w:divsChild>
    </w:div>
    <w:div w:id="1890459560">
      <w:bodyDiv w:val="1"/>
      <w:marLeft w:val="0"/>
      <w:marRight w:val="0"/>
      <w:marTop w:val="0"/>
      <w:marBottom w:val="0"/>
      <w:divBdr>
        <w:top w:val="none" w:sz="0" w:space="0" w:color="auto"/>
        <w:left w:val="none" w:sz="0" w:space="0" w:color="auto"/>
        <w:bottom w:val="none" w:sz="0" w:space="0" w:color="auto"/>
        <w:right w:val="none" w:sz="0" w:space="0" w:color="auto"/>
      </w:divBdr>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89900736">
      <w:bodyDiv w:val="1"/>
      <w:marLeft w:val="0"/>
      <w:marRight w:val="0"/>
      <w:marTop w:val="0"/>
      <w:marBottom w:val="0"/>
      <w:divBdr>
        <w:top w:val="none" w:sz="0" w:space="0" w:color="auto"/>
        <w:left w:val="none" w:sz="0" w:space="0" w:color="auto"/>
        <w:bottom w:val="none" w:sz="0" w:space="0" w:color="auto"/>
        <w:right w:val="none" w:sz="0" w:space="0" w:color="auto"/>
      </w:divBdr>
      <w:divsChild>
        <w:div w:id="2025665342">
          <w:marLeft w:val="547"/>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1156</Words>
  <Characters>5181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2</cp:revision>
  <cp:lastPrinted>2009-04-22T01:01:00Z</cp:lastPrinted>
  <dcterms:created xsi:type="dcterms:W3CDTF">2020-08-07T20:08:00Z</dcterms:created>
  <dcterms:modified xsi:type="dcterms:W3CDTF">2020-08-07T20:08:00Z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(3)2YpPS9vtNzBAySvzwv8H8riOamIlF3fEijJX10pK0Q6DDZMMffyJLKu61/6DLgdOsqIjvAcp_x000d_
tLrveP4ElF3QmKH5/aldxpAl42jtt/Cud6yHmDzhJvG+NJcjgc1eIcEFGBH9SxkkCrmcZkHf_x000d_
ap/Djcd7uM+ST0DLsApTKXYw7UrrRmxfBk2alKtVgAARIikgWKU7acqTOd//zgZAjaZ51UEK_x000d_
DNckhZRAUKrQLVhz0m</vt:lpwstr>
  </property>
  <property fmtid="{D5CDD505-2E9C-101B-9397-08002B2CF9AE}" pid="17" name="_2015_ms_pID_725343_00">
    <vt:lpwstr>_2015_ms_pID_725343</vt:lpwstr>
  </property>
  <property fmtid="{D5CDD505-2E9C-101B-9397-08002B2CF9AE}" pid="18" name="_2015_ms_pID_7253431">
    <vt:lpwstr>ANlDmzIElAJyBjFJdYMMfb/1C0O7ldh4EblZ9xSiKg9tYA5F+uIwpV_x000d_
/HrtPX3H7E4bilFKgZ2hlBvGPCRw6Gw3996ZQOlTBR/HBvkQ3w/xj6Zxiny4S6uIPwetmsqD_x000d_
48h2b0QCgknhdKrFM6G8vgZp29kJnuWnaCSvaIJdFkiQBglOoYzvBrWCVy7IxxKF9ADepk/T_x000d_
odHnu7kALTXs/wJMlyuh2WWqaJBI21e0OCdn</vt:lpwstr>
  </property>
  <property fmtid="{D5CDD505-2E9C-101B-9397-08002B2CF9AE}" pid="19" name="_2015_ms_pID_7253431_00">
    <vt:lpwstr>_2015_ms_pID_7253431</vt:lpwstr>
  </property>
  <property fmtid="{D5CDD505-2E9C-101B-9397-08002B2CF9AE}" pid="20" name="_2015_ms_pID_7253432">
    <vt:lpwstr>Sf5YIaKvh7tYeSwEpq6WbjiPfyWj969gCLqC_x000d_
XBCUFvy1c0VOEVVLmspJvAaeui3uehnNrMlT+zcSAnByD1F+dek=</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1596813392</vt:lpwstr>
  </property>
</Properties>
</file>